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28CAC" w14:textId="08A2D853" w:rsidR="007A25B2" w:rsidRPr="00B31A73" w:rsidRDefault="00370BC3">
      <w:pPr>
        <w:rPr>
          <w:b/>
          <w:sz w:val="28"/>
        </w:rPr>
      </w:pPr>
      <w:r>
        <w:rPr>
          <w:b/>
          <w:sz w:val="28"/>
        </w:rPr>
        <w:t xml:space="preserve">The Power of </w:t>
      </w:r>
      <w:r w:rsidR="004D11FC" w:rsidRPr="00B31A73">
        <w:rPr>
          <w:b/>
          <w:sz w:val="28"/>
        </w:rPr>
        <w:t xml:space="preserve">Risk </w:t>
      </w:r>
      <w:r w:rsidR="007A25B2" w:rsidRPr="00B31A73">
        <w:rPr>
          <w:b/>
          <w:sz w:val="28"/>
        </w:rPr>
        <w:t>Sentiment</w:t>
      </w:r>
      <w:r>
        <w:rPr>
          <w:b/>
          <w:sz w:val="28"/>
        </w:rPr>
        <w:t xml:space="preserve">: </w:t>
      </w:r>
      <w:r w:rsidR="007A25B2" w:rsidRPr="00B31A73">
        <w:rPr>
          <w:b/>
          <w:sz w:val="28"/>
        </w:rPr>
        <w:t>Return Forecasting</w:t>
      </w:r>
      <w:r w:rsidR="006E1551" w:rsidRPr="00B31A73">
        <w:rPr>
          <w:b/>
          <w:sz w:val="28"/>
        </w:rPr>
        <w:t xml:space="preserve"> and Capital Markets </w:t>
      </w:r>
      <w:r w:rsidR="007A25B2" w:rsidRPr="00B31A73">
        <w:rPr>
          <w:b/>
          <w:sz w:val="28"/>
        </w:rPr>
        <w:t>Modeling</w:t>
      </w:r>
    </w:p>
    <w:p w14:paraId="4EC34A60" w14:textId="77777777" w:rsidR="0063173A" w:rsidRDefault="0063173A">
      <w:pPr>
        <w:rPr>
          <w:b/>
        </w:rPr>
      </w:pPr>
    </w:p>
    <w:p w14:paraId="6C70F616" w14:textId="6C45D9D9" w:rsidR="00497D73" w:rsidRDefault="00497D73">
      <w:pPr>
        <w:rPr>
          <w:b/>
        </w:rPr>
      </w:pPr>
      <w:r w:rsidRPr="00B31A73">
        <w:rPr>
          <w:b/>
        </w:rPr>
        <w:t>R. Evan Inglis, FSA, CFA</w:t>
      </w:r>
    </w:p>
    <w:p w14:paraId="39504A3B" w14:textId="77777777" w:rsidR="00815A39" w:rsidRDefault="00815A39" w:rsidP="00815A39">
      <w:pPr>
        <w:spacing w:after="120"/>
      </w:pPr>
    </w:p>
    <w:p w14:paraId="58D1D564" w14:textId="3F4AF2C5" w:rsidR="00370BC3" w:rsidRPr="00370BC3" w:rsidRDefault="00370BC3" w:rsidP="00815A39">
      <w:pPr>
        <w:spacing w:after="120"/>
      </w:pPr>
      <w:r>
        <w:t xml:space="preserve">Key words: Risk sentiment, sentiment, return forecasting, equity risk premium, </w:t>
      </w:r>
      <w:r w:rsidR="00953D80">
        <w:t xml:space="preserve">discount rates, </w:t>
      </w:r>
      <w:r>
        <w:t>interest rates, capital markets model</w:t>
      </w:r>
    </w:p>
    <w:p w14:paraId="5AD254EE" w14:textId="4C4ABFF2" w:rsidR="00B31A73" w:rsidRDefault="00B31A73" w:rsidP="00815A39">
      <w:pPr>
        <w:spacing w:after="120"/>
      </w:pPr>
      <w:r>
        <w:t>ABSTRACT</w:t>
      </w:r>
    </w:p>
    <w:p w14:paraId="4FA0CA30" w14:textId="7089A3DD" w:rsidR="00B31A73" w:rsidRDefault="00AD5E87" w:rsidP="00815A39">
      <w:pPr>
        <w:pBdr>
          <w:bottom w:val="single" w:sz="12" w:space="1" w:color="auto"/>
        </w:pBdr>
        <w:spacing w:after="120"/>
      </w:pPr>
      <w:r w:rsidRPr="00B31A73">
        <w:t>The price of financial assets</w:t>
      </w:r>
      <w:r w:rsidR="000C0530" w:rsidRPr="00B31A73">
        <w:t xml:space="preserve"> is </w:t>
      </w:r>
      <w:r w:rsidR="003504A2" w:rsidRPr="00B31A73">
        <w:t xml:space="preserve">dependent on discount rates, which are </w:t>
      </w:r>
      <w:r w:rsidR="00304D9A" w:rsidRPr="00B31A73">
        <w:t>made up of</w:t>
      </w:r>
      <w:r w:rsidR="000C0530" w:rsidRPr="00B31A73">
        <w:t xml:space="preserve"> interest rates </w:t>
      </w:r>
      <w:r w:rsidR="00427892" w:rsidRPr="00B31A73">
        <w:t>plus</w:t>
      </w:r>
      <w:r w:rsidR="000C0530" w:rsidRPr="00B31A73">
        <w:t xml:space="preserve"> </w:t>
      </w:r>
      <w:r w:rsidR="00304D9A" w:rsidRPr="00B31A73">
        <w:t xml:space="preserve">risk premiums driven by </w:t>
      </w:r>
      <w:r w:rsidR="000C0530" w:rsidRPr="00B31A73">
        <w:t xml:space="preserve">market sentiment.  Unpacking the impact of interest rates from the impact of sentiment is straightforward if we define sentiment as every aspect of the discount rate other than the underlying interest rate itself.  </w:t>
      </w:r>
      <w:r w:rsidR="001D17F8">
        <w:t>Separating the impact of sentiment</w:t>
      </w:r>
      <w:r w:rsidR="000C0530" w:rsidRPr="00B31A73">
        <w:t xml:space="preserve"> from </w:t>
      </w:r>
      <w:r w:rsidR="001D17F8">
        <w:t xml:space="preserve">interest </w:t>
      </w:r>
      <w:r w:rsidR="000C0530" w:rsidRPr="00B31A73">
        <w:t xml:space="preserve">rates </w:t>
      </w:r>
      <w:r w:rsidR="00FF1D1E" w:rsidRPr="00B31A73">
        <w:t>creates</w:t>
      </w:r>
      <w:r w:rsidR="006F2B86" w:rsidRPr="00B31A73">
        <w:t xml:space="preserve"> a p</w:t>
      </w:r>
      <w:r w:rsidR="000C0530" w:rsidRPr="00B31A73">
        <w:t xml:space="preserve">owerful forecasting </w:t>
      </w:r>
      <w:r w:rsidR="006F2B86" w:rsidRPr="00B31A73">
        <w:t>tool, sensible</w:t>
      </w:r>
      <w:r w:rsidR="000C0530" w:rsidRPr="00B31A73">
        <w:t xml:space="preserve"> estim</w:t>
      </w:r>
      <w:r w:rsidR="006F2B86" w:rsidRPr="00B31A73">
        <w:t xml:space="preserve">ates of the equity risk premium and </w:t>
      </w:r>
      <w:r w:rsidR="006E1551" w:rsidRPr="00B31A73">
        <w:t xml:space="preserve">the potential for improvements to </w:t>
      </w:r>
      <w:r w:rsidR="006F2B86" w:rsidRPr="00B31A73">
        <w:t>capital markets modeling.</w:t>
      </w:r>
      <w:r w:rsidR="007A25B2" w:rsidRPr="00B31A73">
        <w:t xml:space="preserve">  </w:t>
      </w:r>
      <w:r w:rsidR="00427892" w:rsidRPr="00B31A73">
        <w:t xml:space="preserve">The sentiment concept is labeled “risk sentiment” because it reflects </w:t>
      </w:r>
      <w:r w:rsidR="001D17F8">
        <w:t xml:space="preserve">investors’ </w:t>
      </w:r>
      <w:r w:rsidR="00427892" w:rsidRPr="00B31A73">
        <w:t xml:space="preserve">current attitude about risk in a market.  </w:t>
      </w:r>
      <w:r w:rsidR="00B951C0" w:rsidRPr="00B31A73">
        <w:t xml:space="preserve">It provides a </w:t>
      </w:r>
      <w:r w:rsidR="00531C64" w:rsidRPr="00B31A73">
        <w:t xml:space="preserve">solid basis for answering the vexing </w:t>
      </w:r>
      <w:r w:rsidR="00B951C0" w:rsidRPr="00B31A73">
        <w:t xml:space="preserve">question of whether equities should be considered overvalued in today’s low interest rate environment.  </w:t>
      </w:r>
    </w:p>
    <w:p w14:paraId="7AD8C72C" w14:textId="6D8EF3FC" w:rsidR="00A00392" w:rsidRDefault="00B31A73" w:rsidP="00815A39">
      <w:pPr>
        <w:spacing w:after="120"/>
      </w:pPr>
      <w:r>
        <w:t xml:space="preserve">The idea that future returns are impacted by current price levels in a market is well-known and accepted.  </w:t>
      </w:r>
      <w:r w:rsidR="00A00392">
        <w:t xml:space="preserve">It is obvious in </w:t>
      </w:r>
      <w:r w:rsidR="006B1889">
        <w:t>fixed income</w:t>
      </w:r>
      <w:r w:rsidR="00A00392">
        <w:t xml:space="preserve"> markets but less so for equity and real estate.  However, Robert Shiller demonstrated that </w:t>
      </w:r>
      <w:r w:rsidR="00427892" w:rsidRPr="00B31A73">
        <w:t>Cyclically Adjusted Price Earnings (</w:t>
      </w:r>
      <w:r w:rsidR="007A25B2" w:rsidRPr="00B31A73">
        <w:t>CAPE</w:t>
      </w:r>
      <w:r w:rsidR="00427892" w:rsidRPr="00B31A73">
        <w:t>) ratios</w:t>
      </w:r>
      <w:r w:rsidR="00A00392">
        <w:t xml:space="preserve"> for equity markets do have strong relationships with future returns</w:t>
      </w:r>
      <w:r w:rsidR="00201BB6">
        <w:rPr>
          <w:rStyle w:val="EndnoteReference"/>
        </w:rPr>
        <w:endnoteReference w:id="1"/>
      </w:r>
      <w:r w:rsidR="00A00392">
        <w:t>.  This relationship has helped practitioners and investors to understand the return potential of future markets</w:t>
      </w:r>
      <w:r w:rsidR="006B1889">
        <w:t xml:space="preserve">.  </w:t>
      </w:r>
      <w:r w:rsidR="00201BB6">
        <w:t>It is valuable</w:t>
      </w:r>
      <w:r w:rsidR="00A00392">
        <w:t xml:space="preserve"> for any investor </w:t>
      </w:r>
      <w:r w:rsidR="006B1889">
        <w:t xml:space="preserve">setting aside funds and </w:t>
      </w:r>
      <w:r w:rsidR="00A00392">
        <w:t>planning to eventually use their invested funds for a specific purpose</w:t>
      </w:r>
      <w:r w:rsidR="006B1889">
        <w:t xml:space="preserve"> – e.g.</w:t>
      </w:r>
      <w:r w:rsidR="00A00392">
        <w:t xml:space="preserve"> pension funds and individuals saving for retirement or college expenses.   </w:t>
      </w:r>
      <w:r w:rsidR="0007233E">
        <w:t>The relationship has also alerted the investment world to the perils of very high price levels.</w:t>
      </w:r>
    </w:p>
    <w:p w14:paraId="51070403" w14:textId="570DAAAC" w:rsidR="00A00392" w:rsidRDefault="0007233E" w:rsidP="00815A39">
      <w:pPr>
        <w:spacing w:after="120"/>
      </w:pPr>
      <w:r>
        <w:t xml:space="preserve">Prices </w:t>
      </w:r>
      <w:r w:rsidR="006B1889">
        <w:t xml:space="preserve">in a financial market </w:t>
      </w:r>
      <w:r>
        <w:t xml:space="preserve">are the result of future expected cash flow being discounted with a rate that is made up of interest rates (e.g. U.S. Treasury yields) and a risk premium. The separate impact of the interest rate and risk premium is clear and obvious in a fixed income market where yields and credit spreads are routinely reported.  </w:t>
      </w:r>
      <w:r w:rsidR="006B1889">
        <w:t xml:space="preserve">However, this is not as clear in </w:t>
      </w:r>
      <w:r>
        <w:t xml:space="preserve">an equity market </w:t>
      </w:r>
      <w:r w:rsidR="006B1889">
        <w:t xml:space="preserve">where </w:t>
      </w:r>
      <w:r>
        <w:t xml:space="preserve">expected future profits or dividends are </w:t>
      </w:r>
      <w:r w:rsidR="00201BB6">
        <w:t xml:space="preserve">either </w:t>
      </w:r>
      <w:r>
        <w:t>explicitly</w:t>
      </w:r>
      <w:r w:rsidR="00201BB6">
        <w:t xml:space="preserve"> discounted</w:t>
      </w:r>
      <w:r w:rsidR="001D17F8">
        <w:t xml:space="preserve"> -</w:t>
      </w:r>
      <w:r w:rsidR="00201BB6">
        <w:t xml:space="preserve"> </w:t>
      </w:r>
      <w:r w:rsidR="000349DE">
        <w:t>with rates that are not publicized</w:t>
      </w:r>
      <w:r w:rsidR="001D17F8">
        <w:t xml:space="preserve"> -</w:t>
      </w:r>
      <w:r>
        <w:t xml:space="preserve"> or implicitly discounted by investors, resulting in </w:t>
      </w:r>
      <w:r w:rsidR="006B1889">
        <w:t xml:space="preserve">a </w:t>
      </w:r>
      <w:r w:rsidR="00E0342C">
        <w:t xml:space="preserve">current </w:t>
      </w:r>
      <w:r w:rsidR="006B1889">
        <w:t>price-to-earnings ratio</w:t>
      </w:r>
      <w:r>
        <w:t>.</w:t>
      </w:r>
      <w:r w:rsidR="0040387F">
        <w:t xml:space="preserve">  </w:t>
      </w:r>
      <w:r w:rsidR="00E0342C">
        <w:t>T</w:t>
      </w:r>
      <w:r w:rsidR="0040387F">
        <w:t>he separate impact of the interest rate and risk premium are not so easily identified.</w:t>
      </w:r>
      <w:r>
        <w:t xml:space="preserve"> </w:t>
      </w:r>
      <w:r w:rsidR="0040387F">
        <w:t>T</w:t>
      </w:r>
      <w:r>
        <w:t>he relationship between interest rates and equity prices has been a source of confusion</w:t>
      </w:r>
      <w:r w:rsidR="0040387F">
        <w:t xml:space="preserve"> since there is no consistent strong relationship between the two</w:t>
      </w:r>
      <w:r>
        <w:t>.</w:t>
      </w:r>
    </w:p>
    <w:p w14:paraId="42E2F392" w14:textId="47ABA869" w:rsidR="0007233E" w:rsidRDefault="0040387F" w:rsidP="00815A39">
      <w:pPr>
        <w:spacing w:after="120"/>
      </w:pPr>
      <w:r>
        <w:t xml:space="preserve">Risk premiums </w:t>
      </w:r>
      <w:r w:rsidR="00914DE9">
        <w:t>reflect</w:t>
      </w:r>
      <w:r>
        <w:t xml:space="preserve"> sentiment in a market.  Based on the work of Shiller and others, we understand intuitively that more positive sentiment leads to higher prices and therefore to a lower ex ante risk premium.  Prices though</w:t>
      </w:r>
      <w:r w:rsidR="00E0342C">
        <w:t>,</w:t>
      </w:r>
      <w:r>
        <w:t xml:space="preserve"> </w:t>
      </w:r>
      <w:r w:rsidR="00914DE9">
        <w:t>reflect</w:t>
      </w:r>
      <w:r>
        <w:t xml:space="preserve"> both interest rates and market sentiment.  Very low interest rates in the recent past have been understood as a driver of high equity prices, but the relative impact of interest rates and market sentiment is poorly understood and prone to much speculative commentary.</w:t>
      </w:r>
    </w:p>
    <w:p w14:paraId="0559A10A" w14:textId="59EF5A98" w:rsidR="0040387F" w:rsidRDefault="006B1889" w:rsidP="00815A39">
      <w:pPr>
        <w:spacing w:after="120"/>
      </w:pPr>
      <w:r>
        <w:t>“</w:t>
      </w:r>
      <w:r w:rsidR="0040387F">
        <w:t>Risk sentiment</w:t>
      </w:r>
      <w:r>
        <w:t>”</w:t>
      </w:r>
      <w:r w:rsidR="0040387F">
        <w:t>, the</w:t>
      </w:r>
      <w:r>
        <w:t xml:space="preserve"> concept</w:t>
      </w:r>
      <w:r w:rsidR="0040387F">
        <w:t xml:space="preserve"> presented </w:t>
      </w:r>
      <w:r w:rsidR="00B872AC">
        <w:t>in this article</w:t>
      </w:r>
      <w:r w:rsidR="0040387F">
        <w:t xml:space="preserve">, is defined to represent the portion of the market discount rate other than the </w:t>
      </w:r>
      <w:r w:rsidR="001D17F8">
        <w:t>interest</w:t>
      </w:r>
      <w:r w:rsidR="0040387F">
        <w:t xml:space="preserve"> rate.  It is essentially the inverse of a risk premium – high </w:t>
      </w:r>
      <w:r w:rsidR="000349DE">
        <w:t xml:space="preserve">risk </w:t>
      </w:r>
      <w:r w:rsidR="0040387F">
        <w:t>sentiment leads to a low risk premium and vice versa.</w:t>
      </w:r>
    </w:p>
    <w:p w14:paraId="3514F553" w14:textId="086213A5" w:rsidR="00AD5E87" w:rsidRDefault="006B1889" w:rsidP="00815A39">
      <w:pPr>
        <w:spacing w:after="120"/>
      </w:pPr>
      <w:r>
        <w:lastRenderedPageBreak/>
        <w:t xml:space="preserve">The equity risk sentiment metric </w:t>
      </w:r>
      <w:r w:rsidR="00B872AC">
        <w:t xml:space="preserve">developed in this article </w:t>
      </w:r>
      <w:r>
        <w:t>has a very strong relationship with future returns, opening the possibility for better forecasting of investment outcomes.  It provides a convenient and intuitive approach to calculating the equity risk premium. It creates potential for better capital markets modeling by enabling models to represent the impact of interest rates and market sentiment separately, and through a strong connection between equity risk sentiment and risk sentiment in the corporate bond market.</w:t>
      </w:r>
      <w:r w:rsidR="00914DE9">
        <w:t xml:space="preserve">  All of this can enable investors to plan more effectively and to create portfolios with levels of risk and return that will better meet their objectives.</w:t>
      </w:r>
    </w:p>
    <w:p w14:paraId="35985804" w14:textId="6959302A" w:rsidR="000433BD" w:rsidRPr="000433BD" w:rsidRDefault="000433BD">
      <w:pPr>
        <w:rPr>
          <w:b/>
          <w:u w:val="single"/>
        </w:rPr>
      </w:pPr>
      <w:r w:rsidRPr="000433BD">
        <w:rPr>
          <w:b/>
          <w:u w:val="single"/>
        </w:rPr>
        <w:t>RISK SENTIMENT AND THE EQUITY RISK SENTIMENT METRIC</w:t>
      </w:r>
    </w:p>
    <w:p w14:paraId="740F0382" w14:textId="77777777" w:rsidR="00815A39" w:rsidRDefault="00815A39" w:rsidP="00815A39">
      <w:pPr>
        <w:spacing w:after="120"/>
        <w:rPr>
          <w:b/>
        </w:rPr>
      </w:pPr>
    </w:p>
    <w:p w14:paraId="414A37F8" w14:textId="299FD730" w:rsidR="00CE484C" w:rsidRPr="00B31A73" w:rsidRDefault="006F2B86" w:rsidP="00815A39">
      <w:pPr>
        <w:spacing w:after="120"/>
        <w:rPr>
          <w:b/>
        </w:rPr>
      </w:pPr>
      <w:r w:rsidRPr="00B31A73">
        <w:rPr>
          <w:b/>
        </w:rPr>
        <w:t xml:space="preserve">A </w:t>
      </w:r>
      <w:r w:rsidR="00F5338A" w:rsidRPr="00B31A73">
        <w:rPr>
          <w:b/>
        </w:rPr>
        <w:t xml:space="preserve">Basic </w:t>
      </w:r>
      <w:r w:rsidRPr="00B31A73">
        <w:rPr>
          <w:b/>
        </w:rPr>
        <w:t>Model for Returns</w:t>
      </w:r>
    </w:p>
    <w:p w14:paraId="575205AD" w14:textId="3CC3CD00" w:rsidR="00C94710" w:rsidRPr="00B31A73" w:rsidRDefault="00C94710" w:rsidP="00815A39">
      <w:pPr>
        <w:spacing w:after="120"/>
      </w:pPr>
      <w:r w:rsidRPr="00B31A73">
        <w:t xml:space="preserve">Investment returns for </w:t>
      </w:r>
      <w:r w:rsidR="00304D9A" w:rsidRPr="00B31A73">
        <w:t>key asset classes – equities, fixed income and real estate</w:t>
      </w:r>
      <w:r w:rsidRPr="00B31A73">
        <w:t xml:space="preserve"> </w:t>
      </w:r>
      <w:r w:rsidR="00304D9A" w:rsidRPr="00B31A73">
        <w:t xml:space="preserve">- </w:t>
      </w:r>
      <w:r w:rsidRPr="00B31A73">
        <w:t>can be understood with this model:</w:t>
      </w:r>
    </w:p>
    <w:p w14:paraId="00B09CDC" w14:textId="77777777" w:rsidR="00C94710" w:rsidRPr="00B31A73" w:rsidRDefault="00C94710" w:rsidP="00815A39">
      <w:pPr>
        <w:spacing w:after="120"/>
        <w:ind w:left="720"/>
      </w:pPr>
      <w:r w:rsidRPr="00B31A73">
        <w:t>R = Y + G + ∆P + ∆FE</w:t>
      </w:r>
    </w:p>
    <w:p w14:paraId="127E63B0" w14:textId="3F4336DF" w:rsidR="00C94710" w:rsidRPr="00B31A73" w:rsidRDefault="00C94710" w:rsidP="00AE51AF">
      <w:pPr>
        <w:pStyle w:val="ListParagraph"/>
        <w:numPr>
          <w:ilvl w:val="0"/>
          <w:numId w:val="4"/>
        </w:numPr>
        <w:rPr>
          <w:rFonts w:ascii="Times New Roman" w:hAnsi="Times New Roman" w:cs="Times New Roman"/>
          <w:sz w:val="24"/>
          <w:szCs w:val="24"/>
        </w:rPr>
      </w:pPr>
      <w:r w:rsidRPr="00B31A73">
        <w:rPr>
          <w:rFonts w:ascii="Times New Roman" w:hAnsi="Times New Roman" w:cs="Times New Roman"/>
          <w:sz w:val="24"/>
          <w:szCs w:val="24"/>
        </w:rPr>
        <w:t xml:space="preserve">R = </w:t>
      </w:r>
      <w:r w:rsidR="00196A1E">
        <w:rPr>
          <w:rFonts w:ascii="Times New Roman" w:hAnsi="Times New Roman" w:cs="Times New Roman"/>
          <w:sz w:val="24"/>
          <w:szCs w:val="24"/>
        </w:rPr>
        <w:t xml:space="preserve">Return = </w:t>
      </w:r>
      <w:r w:rsidR="00DE2BBE" w:rsidRPr="00B31A73">
        <w:rPr>
          <w:rFonts w:ascii="Times New Roman" w:hAnsi="Times New Roman" w:cs="Times New Roman"/>
          <w:sz w:val="24"/>
          <w:szCs w:val="24"/>
        </w:rPr>
        <w:t xml:space="preserve">nominal </w:t>
      </w:r>
      <w:r w:rsidRPr="00B31A73">
        <w:rPr>
          <w:rFonts w:ascii="Times New Roman" w:hAnsi="Times New Roman" w:cs="Times New Roman"/>
          <w:sz w:val="24"/>
          <w:szCs w:val="24"/>
        </w:rPr>
        <w:t>return</w:t>
      </w:r>
    </w:p>
    <w:p w14:paraId="15C32085" w14:textId="7241667F" w:rsidR="00C94710" w:rsidRPr="00B31A73" w:rsidRDefault="00C94710" w:rsidP="00AE51AF">
      <w:pPr>
        <w:pStyle w:val="ListParagraph"/>
        <w:numPr>
          <w:ilvl w:val="0"/>
          <w:numId w:val="4"/>
        </w:numPr>
        <w:rPr>
          <w:rFonts w:ascii="Times New Roman" w:hAnsi="Times New Roman" w:cs="Times New Roman"/>
          <w:sz w:val="24"/>
          <w:szCs w:val="24"/>
        </w:rPr>
      </w:pPr>
      <w:r w:rsidRPr="00B31A73">
        <w:rPr>
          <w:rFonts w:ascii="Times New Roman" w:hAnsi="Times New Roman" w:cs="Times New Roman"/>
          <w:sz w:val="24"/>
          <w:szCs w:val="24"/>
        </w:rPr>
        <w:t>Y = Yield</w:t>
      </w:r>
      <w:r w:rsidR="00D94B84" w:rsidRPr="00B31A73">
        <w:rPr>
          <w:rFonts w:ascii="Times New Roman" w:hAnsi="Times New Roman" w:cs="Times New Roman"/>
          <w:sz w:val="24"/>
          <w:szCs w:val="24"/>
        </w:rPr>
        <w:t xml:space="preserve"> = </w:t>
      </w:r>
      <w:r w:rsidR="00963F3F" w:rsidRPr="00B31A73">
        <w:rPr>
          <w:rFonts w:ascii="Times New Roman" w:hAnsi="Times New Roman" w:cs="Times New Roman"/>
          <w:sz w:val="24"/>
          <w:szCs w:val="24"/>
        </w:rPr>
        <w:t xml:space="preserve">market </w:t>
      </w:r>
      <w:r w:rsidR="00304D9A" w:rsidRPr="00B31A73">
        <w:rPr>
          <w:rFonts w:ascii="Times New Roman" w:hAnsi="Times New Roman" w:cs="Times New Roman"/>
          <w:sz w:val="24"/>
          <w:szCs w:val="24"/>
        </w:rPr>
        <w:t>income</w:t>
      </w:r>
      <w:r w:rsidR="00D94B84" w:rsidRPr="00B31A73">
        <w:rPr>
          <w:rFonts w:ascii="Times New Roman" w:hAnsi="Times New Roman" w:cs="Times New Roman"/>
          <w:sz w:val="24"/>
          <w:szCs w:val="24"/>
        </w:rPr>
        <w:t xml:space="preserve"> / </w:t>
      </w:r>
      <w:r w:rsidR="00963F3F" w:rsidRPr="00B31A73">
        <w:rPr>
          <w:rFonts w:ascii="Times New Roman" w:hAnsi="Times New Roman" w:cs="Times New Roman"/>
          <w:sz w:val="24"/>
          <w:szCs w:val="24"/>
        </w:rPr>
        <w:t xml:space="preserve">market </w:t>
      </w:r>
      <w:r w:rsidR="00D94B84" w:rsidRPr="00B31A73">
        <w:rPr>
          <w:rFonts w:ascii="Times New Roman" w:hAnsi="Times New Roman" w:cs="Times New Roman"/>
          <w:sz w:val="24"/>
          <w:szCs w:val="24"/>
        </w:rPr>
        <w:t>price</w:t>
      </w:r>
    </w:p>
    <w:p w14:paraId="79C35B87" w14:textId="287D3A1F" w:rsidR="00C94710" w:rsidRPr="00B31A73" w:rsidRDefault="001562D9" w:rsidP="00AE51AF">
      <w:pPr>
        <w:pStyle w:val="ListParagraph"/>
        <w:numPr>
          <w:ilvl w:val="0"/>
          <w:numId w:val="4"/>
        </w:numPr>
        <w:rPr>
          <w:rFonts w:ascii="Times New Roman" w:hAnsi="Times New Roman" w:cs="Times New Roman"/>
          <w:sz w:val="24"/>
          <w:szCs w:val="24"/>
        </w:rPr>
      </w:pPr>
      <w:r w:rsidRPr="00B31A73">
        <w:rPr>
          <w:rFonts w:ascii="Times New Roman" w:hAnsi="Times New Roman" w:cs="Times New Roman"/>
          <w:sz w:val="24"/>
          <w:szCs w:val="24"/>
        </w:rPr>
        <w:t xml:space="preserve">G = </w:t>
      </w:r>
      <w:r w:rsidR="00196A1E">
        <w:rPr>
          <w:rFonts w:ascii="Times New Roman" w:hAnsi="Times New Roman" w:cs="Times New Roman"/>
          <w:sz w:val="24"/>
          <w:szCs w:val="24"/>
        </w:rPr>
        <w:t xml:space="preserve">Growth = </w:t>
      </w:r>
      <w:r w:rsidR="001D17F8">
        <w:rPr>
          <w:rFonts w:ascii="Times New Roman" w:hAnsi="Times New Roman" w:cs="Times New Roman"/>
          <w:sz w:val="24"/>
          <w:szCs w:val="24"/>
        </w:rPr>
        <w:t>growth rate</w:t>
      </w:r>
      <w:r w:rsidR="00D94B84" w:rsidRPr="00B31A73">
        <w:rPr>
          <w:rFonts w:ascii="Times New Roman" w:hAnsi="Times New Roman" w:cs="Times New Roman"/>
          <w:sz w:val="24"/>
          <w:szCs w:val="24"/>
        </w:rPr>
        <w:t xml:space="preserve"> in </w:t>
      </w:r>
      <w:r w:rsidR="00963F3F" w:rsidRPr="00B31A73">
        <w:rPr>
          <w:rFonts w:ascii="Times New Roman" w:hAnsi="Times New Roman" w:cs="Times New Roman"/>
          <w:sz w:val="24"/>
          <w:szCs w:val="24"/>
        </w:rPr>
        <w:t xml:space="preserve">market </w:t>
      </w:r>
      <w:r w:rsidR="00304D9A" w:rsidRPr="00B31A73">
        <w:rPr>
          <w:rFonts w:ascii="Times New Roman" w:hAnsi="Times New Roman" w:cs="Times New Roman"/>
          <w:sz w:val="24"/>
          <w:szCs w:val="24"/>
        </w:rPr>
        <w:t>income</w:t>
      </w:r>
      <w:r w:rsidR="00DE2BBE" w:rsidRPr="00B31A73">
        <w:rPr>
          <w:rFonts w:ascii="Times New Roman" w:hAnsi="Times New Roman" w:cs="Times New Roman"/>
          <w:sz w:val="24"/>
          <w:szCs w:val="24"/>
        </w:rPr>
        <w:t xml:space="preserve"> (including the impact of inflation)</w:t>
      </w:r>
    </w:p>
    <w:p w14:paraId="569B3DFE" w14:textId="4EBC178B" w:rsidR="00C94710" w:rsidRPr="00B31A73" w:rsidRDefault="00C94710" w:rsidP="00AE51AF">
      <w:pPr>
        <w:pStyle w:val="ListParagraph"/>
        <w:numPr>
          <w:ilvl w:val="0"/>
          <w:numId w:val="4"/>
        </w:numPr>
        <w:rPr>
          <w:rFonts w:ascii="Times New Roman" w:hAnsi="Times New Roman" w:cs="Times New Roman"/>
          <w:sz w:val="24"/>
          <w:szCs w:val="24"/>
        </w:rPr>
      </w:pPr>
      <w:r w:rsidRPr="00B31A73">
        <w:rPr>
          <w:rFonts w:ascii="Times New Roman" w:hAnsi="Times New Roman" w:cs="Times New Roman"/>
          <w:sz w:val="24"/>
          <w:szCs w:val="24"/>
        </w:rPr>
        <w:t xml:space="preserve">P = Price </w:t>
      </w:r>
      <w:r w:rsidR="00304D9A" w:rsidRPr="00B31A73">
        <w:rPr>
          <w:rFonts w:ascii="Times New Roman" w:hAnsi="Times New Roman" w:cs="Times New Roman"/>
          <w:sz w:val="24"/>
          <w:szCs w:val="24"/>
        </w:rPr>
        <w:t xml:space="preserve">= </w:t>
      </w:r>
      <w:r w:rsidR="00963F3F" w:rsidRPr="00B31A73">
        <w:rPr>
          <w:rFonts w:ascii="Times New Roman" w:hAnsi="Times New Roman" w:cs="Times New Roman"/>
          <w:sz w:val="24"/>
          <w:szCs w:val="24"/>
        </w:rPr>
        <w:t xml:space="preserve">market </w:t>
      </w:r>
      <w:r w:rsidR="00304D9A" w:rsidRPr="00B31A73">
        <w:rPr>
          <w:rFonts w:ascii="Times New Roman" w:hAnsi="Times New Roman" w:cs="Times New Roman"/>
          <w:sz w:val="24"/>
          <w:szCs w:val="24"/>
        </w:rPr>
        <w:t xml:space="preserve">price / </w:t>
      </w:r>
      <w:r w:rsidR="00963F3F" w:rsidRPr="00B31A73">
        <w:rPr>
          <w:rFonts w:ascii="Times New Roman" w:hAnsi="Times New Roman" w:cs="Times New Roman"/>
          <w:sz w:val="24"/>
          <w:szCs w:val="24"/>
        </w:rPr>
        <w:t xml:space="preserve">market </w:t>
      </w:r>
      <w:r w:rsidR="00304D9A" w:rsidRPr="00B31A73">
        <w:rPr>
          <w:rFonts w:ascii="Times New Roman" w:hAnsi="Times New Roman" w:cs="Times New Roman"/>
          <w:sz w:val="24"/>
          <w:szCs w:val="24"/>
        </w:rPr>
        <w:t>income</w:t>
      </w:r>
    </w:p>
    <w:p w14:paraId="1CA629BE" w14:textId="2BF8895B" w:rsidR="00C94710" w:rsidRPr="00B31A73" w:rsidRDefault="006E1551" w:rsidP="00AE51AF">
      <w:pPr>
        <w:pStyle w:val="ListParagraph"/>
        <w:numPr>
          <w:ilvl w:val="0"/>
          <w:numId w:val="4"/>
        </w:numPr>
        <w:rPr>
          <w:rFonts w:ascii="Times New Roman" w:hAnsi="Times New Roman" w:cs="Times New Roman"/>
          <w:sz w:val="24"/>
          <w:szCs w:val="24"/>
        </w:rPr>
      </w:pPr>
      <w:r w:rsidRPr="00B31A73">
        <w:rPr>
          <w:rFonts w:ascii="Times New Roman" w:hAnsi="Times New Roman" w:cs="Times New Roman"/>
          <w:sz w:val="24"/>
          <w:szCs w:val="24"/>
        </w:rPr>
        <w:t>FE = Foreign Exchange r</w:t>
      </w:r>
      <w:r w:rsidR="00C94710" w:rsidRPr="00B31A73">
        <w:rPr>
          <w:rFonts w:ascii="Times New Roman" w:hAnsi="Times New Roman" w:cs="Times New Roman"/>
          <w:sz w:val="24"/>
          <w:szCs w:val="24"/>
        </w:rPr>
        <w:t>ate</w:t>
      </w:r>
    </w:p>
    <w:p w14:paraId="2D9C2A27" w14:textId="39EC4CF6" w:rsidR="00D94B84" w:rsidRPr="00B31A73" w:rsidRDefault="00427892" w:rsidP="00196A1E">
      <w:pPr>
        <w:pStyle w:val="ListParagraph"/>
        <w:numPr>
          <w:ilvl w:val="0"/>
          <w:numId w:val="4"/>
        </w:numPr>
        <w:rPr>
          <w:rFonts w:ascii="Times New Roman" w:hAnsi="Times New Roman" w:cs="Times New Roman"/>
          <w:sz w:val="24"/>
          <w:szCs w:val="24"/>
        </w:rPr>
      </w:pPr>
      <w:r w:rsidRPr="00B31A73">
        <w:rPr>
          <w:rFonts w:ascii="Times New Roman" w:hAnsi="Times New Roman" w:cs="Times New Roman"/>
          <w:sz w:val="24"/>
          <w:szCs w:val="24"/>
        </w:rPr>
        <w:t>Market i</w:t>
      </w:r>
      <w:r w:rsidR="006E1551" w:rsidRPr="00B31A73">
        <w:rPr>
          <w:rFonts w:ascii="Times New Roman" w:hAnsi="Times New Roman" w:cs="Times New Roman"/>
          <w:sz w:val="24"/>
          <w:szCs w:val="24"/>
        </w:rPr>
        <w:t>ncome</w:t>
      </w:r>
      <w:r w:rsidR="00D94B84" w:rsidRPr="00B31A73">
        <w:rPr>
          <w:rFonts w:ascii="Times New Roman" w:hAnsi="Times New Roman" w:cs="Times New Roman"/>
          <w:sz w:val="24"/>
          <w:szCs w:val="24"/>
        </w:rPr>
        <w:t xml:space="preserve"> = coupon &amp; maturity payments, dividend or corporate earnings, rental income less expenses, etc.</w:t>
      </w:r>
    </w:p>
    <w:p w14:paraId="5178A5CF" w14:textId="49156328" w:rsidR="00F142FB" w:rsidRPr="00B31A73" w:rsidRDefault="003B5551" w:rsidP="00815A39">
      <w:pPr>
        <w:spacing w:after="120"/>
      </w:pPr>
      <w:r w:rsidRPr="00B31A73">
        <w:t>This model</w:t>
      </w:r>
      <w:r w:rsidR="00F5338A" w:rsidRPr="00B31A73">
        <w:t xml:space="preserve"> is</w:t>
      </w:r>
      <w:r w:rsidRPr="00B31A73">
        <w:t xml:space="preserve"> equivalent to a standard dividend discount model for equities</w:t>
      </w:r>
      <w:r w:rsidR="00F5338A" w:rsidRPr="00B31A73">
        <w:t>, but it is</w:t>
      </w:r>
      <w:r w:rsidR="007A25B2" w:rsidRPr="00B31A73">
        <w:t xml:space="preserve"> applicable to any </w:t>
      </w:r>
      <w:r w:rsidR="00304D9A" w:rsidRPr="00B31A73">
        <w:t xml:space="preserve">of the three key </w:t>
      </w:r>
      <w:r w:rsidR="007A25B2" w:rsidRPr="00B31A73">
        <w:t>asset class</w:t>
      </w:r>
      <w:r w:rsidR="00304D9A" w:rsidRPr="00B31A73">
        <w:t>es</w:t>
      </w:r>
      <w:r w:rsidR="00C926F2" w:rsidRPr="00B31A73">
        <w:t xml:space="preserve"> or </w:t>
      </w:r>
      <w:r w:rsidR="006E1551" w:rsidRPr="00B31A73">
        <w:t xml:space="preserve">their </w:t>
      </w:r>
      <w:r w:rsidR="00C926F2" w:rsidRPr="00B31A73">
        <w:t>sub-asset class</w:t>
      </w:r>
      <w:r w:rsidR="006E1551" w:rsidRPr="00B31A73">
        <w:t>es</w:t>
      </w:r>
      <w:r w:rsidR="00C926F2" w:rsidRPr="00B31A73">
        <w:t xml:space="preserve"> </w:t>
      </w:r>
      <w:r w:rsidR="00E0342C">
        <w:t>and to m</w:t>
      </w:r>
      <w:r w:rsidR="00C926F2" w:rsidRPr="00B31A73">
        <w:t>any asset</w:t>
      </w:r>
      <w:r w:rsidR="00E0342C">
        <w:t>s</w:t>
      </w:r>
      <w:r w:rsidR="00C926F2" w:rsidRPr="00B31A73">
        <w:t xml:space="preserve"> derived from those three asset classes</w:t>
      </w:r>
      <w:r w:rsidR="007A25B2" w:rsidRPr="00B31A73">
        <w:t>.</w:t>
      </w:r>
      <w:r w:rsidR="005F7A8C" w:rsidRPr="00B31A73">
        <w:t xml:space="preserve">  </w:t>
      </w:r>
      <w:r w:rsidR="001D17F8">
        <w:t xml:space="preserve">It can be applied for forecasting future returns or for analyzing past returns.  </w:t>
      </w:r>
      <w:r w:rsidR="005F7A8C" w:rsidRPr="00B31A73">
        <w:t xml:space="preserve">The price </w:t>
      </w:r>
      <w:r w:rsidR="006E1551" w:rsidRPr="00B31A73">
        <w:t xml:space="preserve">factor from </w:t>
      </w:r>
      <w:r w:rsidR="00121C0B" w:rsidRPr="00B31A73">
        <w:t>th</w:t>
      </w:r>
      <w:r w:rsidR="006E1551" w:rsidRPr="00B31A73">
        <w:t>e</w:t>
      </w:r>
      <w:r w:rsidR="00121C0B" w:rsidRPr="00B31A73">
        <w:t xml:space="preserve"> model is the foundation for identifying</w:t>
      </w:r>
      <w:r w:rsidR="006E1551" w:rsidRPr="00B31A73">
        <w:t xml:space="preserve"> and defining</w:t>
      </w:r>
      <w:r w:rsidR="00121C0B" w:rsidRPr="00B31A73">
        <w:t xml:space="preserve"> the </w:t>
      </w:r>
      <w:r w:rsidR="006E1551" w:rsidRPr="00B31A73">
        <w:t xml:space="preserve">risk </w:t>
      </w:r>
      <w:r w:rsidR="00121C0B" w:rsidRPr="00B31A73">
        <w:t>sentiment metric</w:t>
      </w:r>
      <w:r w:rsidR="001D17F8">
        <w:t xml:space="preserve"> that is the subject of this article</w:t>
      </w:r>
      <w:r w:rsidR="00121C0B" w:rsidRPr="00B31A73">
        <w:t>.</w:t>
      </w:r>
    </w:p>
    <w:p w14:paraId="1C7DE09A" w14:textId="5EC056D6" w:rsidR="00E0342C" w:rsidRPr="00B31A73" w:rsidRDefault="00C94710" w:rsidP="00815A39">
      <w:pPr>
        <w:spacing w:after="120"/>
        <w:rPr>
          <w:b/>
        </w:rPr>
      </w:pPr>
      <w:r w:rsidRPr="00B31A73">
        <w:rPr>
          <w:b/>
        </w:rPr>
        <w:t>Price</w:t>
      </w:r>
      <w:r w:rsidR="00E0342C" w:rsidRPr="00B31A73">
        <w:rPr>
          <w:rStyle w:val="EndnoteReference"/>
          <w:b/>
        </w:rPr>
        <w:endnoteReference w:id="2"/>
      </w:r>
      <w:r w:rsidR="00E0342C" w:rsidRPr="00B31A73">
        <w:rPr>
          <w:b/>
        </w:rPr>
        <w:t>, Interest Rates and Market Sentiment</w:t>
      </w:r>
    </w:p>
    <w:p w14:paraId="241E24BA" w14:textId="0D3A9439" w:rsidR="00E0342C" w:rsidRPr="00B31A73" w:rsidRDefault="00E0342C" w:rsidP="00815A39">
      <w:pPr>
        <w:spacing w:after="120"/>
      </w:pPr>
      <w:r w:rsidRPr="00B31A73">
        <w:t>Price, e.g. the price-to-earnings ratio in an equity market, is the value that a market of investors places on estimated future income and it is a function of interest rates and investor sentiment.  When interest rates change, the value of future income changes so the value of future bond cash flows, future corporate profits, rental income or any other investment cash flow changes. Similarly, when market sentiment changes, the discount rate for future income changes, which impacts price and therefore return.</w:t>
      </w:r>
    </w:p>
    <w:p w14:paraId="5E47D2AE" w14:textId="57746A41" w:rsidR="00E0342C" w:rsidRPr="00B31A73" w:rsidRDefault="000349DE" w:rsidP="00815A39">
      <w:pPr>
        <w:spacing w:after="120"/>
      </w:pPr>
      <w:r>
        <w:t>Risk s</w:t>
      </w:r>
      <w:r w:rsidR="00E0342C" w:rsidRPr="00B31A73">
        <w:t>entiment</w:t>
      </w:r>
      <w:r>
        <w:t xml:space="preserve"> in a market</w:t>
      </w:r>
      <w:r w:rsidR="00E0342C" w:rsidRPr="00B31A73">
        <w:t xml:space="preserve">, as defined for this </w:t>
      </w:r>
      <w:r w:rsidR="008740E0">
        <w:t>article</w:t>
      </w:r>
      <w:r w:rsidR="00E0342C" w:rsidRPr="00B31A73">
        <w:t>, encompasses all aspects of the discount rate for a market other than default-free interest rates</w:t>
      </w:r>
      <w:r>
        <w:t xml:space="preserve"> (Treasury yields)</w:t>
      </w:r>
      <w:r w:rsidR="00E0342C" w:rsidRPr="00B31A73">
        <w:t xml:space="preserve">.  For purposes of actual discounting, market sentiment is translated into a risk premium which, together with current interest rates, make up the full market discount rate. </w:t>
      </w:r>
      <w:r>
        <w:t>Risk s</w:t>
      </w:r>
      <w:r w:rsidR="00E0342C" w:rsidRPr="00B31A73">
        <w:t xml:space="preserve">entiment can be viewed as the market’s appetite for risk, the perceived potential for growth, or supply and demand.  More positive sentiment may represent a belief that profits will grow faster, that future profits are viewed as more predictable, or a desire to take on more risk.  Supply and demand for an asset </w:t>
      </w:r>
      <w:r w:rsidR="00E0342C" w:rsidRPr="00B31A73">
        <w:lastRenderedPageBreak/>
        <w:t>class may be driven by the supply of money, expansion</w:t>
      </w:r>
      <w:r w:rsidR="001802B5">
        <w:t xml:space="preserve"> or contraction</w:t>
      </w:r>
      <w:r w:rsidR="00E0342C" w:rsidRPr="00B31A73">
        <w:t xml:space="preserve"> of corporate balance sheets, Federal Reserve purchases or sales, the price for other asset classes, or other factors.  </w:t>
      </w:r>
    </w:p>
    <w:p w14:paraId="3373B090" w14:textId="4A07FB4D" w:rsidR="00E0342C" w:rsidRPr="00B31A73" w:rsidRDefault="00E0342C" w:rsidP="00815A39">
      <w:pPr>
        <w:spacing w:after="120"/>
      </w:pPr>
      <w:r w:rsidRPr="00B31A73">
        <w:t>More positive sentiment translates into a lower discount rate representing the market’s willingness to pay a higher price to take on risky assets.  Similarly, a higher rate of expected growth</w:t>
      </w:r>
      <w:r w:rsidR="001802B5">
        <w:t xml:space="preserve">, based on more positive sentiment, </w:t>
      </w:r>
      <w:r w:rsidRPr="00B31A73">
        <w:t>offsets the impact of the discount rate, pushing prices higher.   More predictable profits or a desire to take more risk reduces the risk premium demanded by investors, lowering the discount rate.  All of these effects are the result of a change in sentiment.  More positive sentiment reduces risk premiums.</w:t>
      </w:r>
    </w:p>
    <w:p w14:paraId="36043FF8" w14:textId="05DD1352" w:rsidR="00E0342C" w:rsidRPr="00B31A73" w:rsidRDefault="00E0342C" w:rsidP="00815A39">
      <w:pPr>
        <w:spacing w:after="120"/>
        <w:rPr>
          <w:b/>
        </w:rPr>
      </w:pPr>
      <w:r w:rsidRPr="00B31A73">
        <w:rPr>
          <w:b/>
        </w:rPr>
        <w:t>Equity Prices and Interest Rates</w:t>
      </w:r>
    </w:p>
    <w:p w14:paraId="5C16E5BC" w14:textId="179CC704" w:rsidR="00E0342C" w:rsidRPr="00B31A73" w:rsidRDefault="00E0342C" w:rsidP="00815A39">
      <w:pPr>
        <w:spacing w:after="120"/>
      </w:pPr>
      <w:r w:rsidRPr="00B31A73">
        <w:t xml:space="preserve">Given that changes in interest rates should impact the discounting of expected future cash flows for any asset, we expect to see a relationship between equity prices and interest rates. </w:t>
      </w:r>
      <w:r w:rsidR="00D6100D">
        <w:t>Figure 1</w:t>
      </w:r>
      <w:r w:rsidRPr="00B31A73">
        <w:t xml:space="preserve"> shows the relationship between interest rates (10-year Treasury yields) and cyclically adjusted price earnings (CAPE) ratios from Robert Shiller’s book </w:t>
      </w:r>
      <w:r w:rsidRPr="001802B5">
        <w:rPr>
          <w:i/>
        </w:rPr>
        <w:t>Irrational Exuberance</w:t>
      </w:r>
      <w:r w:rsidRPr="00B31A73">
        <w:t>.  The cyclically adjusted yield (1/CAPE) is used</w:t>
      </w:r>
      <w:r w:rsidR="001802B5">
        <w:t xml:space="preserve"> in order</w:t>
      </w:r>
      <w:r w:rsidRPr="00B31A73">
        <w:t xml:space="preserve"> to show a</w:t>
      </w:r>
      <w:r w:rsidR="001802B5">
        <w:t xml:space="preserve"> potentially</w:t>
      </w:r>
      <w:r w:rsidRPr="00B31A73">
        <w:t xml:space="preserve"> positive relationship.  There is a clear relationship for interest rates above 7%.  For interest rates below 7%, we do not see a clear relationship between rates and equity </w:t>
      </w:r>
      <w:r w:rsidR="001802B5">
        <w:t>yields</w:t>
      </w:r>
      <w:r w:rsidRPr="00B31A73">
        <w:t xml:space="preserve">.  It seems that market sentiment must be clouding the picture and interest rates </w:t>
      </w:r>
      <w:r w:rsidR="00196A1E">
        <w:t>may be</w:t>
      </w:r>
      <w:r w:rsidRPr="00B31A73">
        <w:t xml:space="preserve"> negatively correlated with market sentiment.  This </w:t>
      </w:r>
      <w:r w:rsidR="001802B5">
        <w:t>would explain</w:t>
      </w:r>
      <w:r w:rsidRPr="00B31A73">
        <w:t xml:space="preserve"> the muddled picture on that part of the chart and why the relationship between interest rates and equity prices</w:t>
      </w:r>
      <w:r w:rsidR="001802B5">
        <w:t xml:space="preserve"> causes confusion even though</w:t>
      </w:r>
      <w:r w:rsidRPr="00B31A73">
        <w:t xml:space="preserve"> we </w:t>
      </w:r>
      <w:r w:rsidR="001802B5">
        <w:t>understand how it should work</w:t>
      </w:r>
      <w:r w:rsidRPr="00B31A73">
        <w:t xml:space="preserve">.  </w:t>
      </w:r>
    </w:p>
    <w:p w14:paraId="6348925E" w14:textId="1962B4A7" w:rsidR="00E0342C" w:rsidRPr="00B31A73" w:rsidRDefault="00370BC3" w:rsidP="00815A39">
      <w:pPr>
        <w:spacing w:after="120"/>
      </w:pPr>
      <w:r>
        <w:t>Table 1</w:t>
      </w:r>
      <w:r w:rsidR="00E0342C" w:rsidRPr="00B31A73">
        <w:t xml:space="preserve"> summarizes the </w:t>
      </w:r>
      <w:r w:rsidR="001802B5">
        <w:t>different</w:t>
      </w:r>
      <w:r w:rsidR="00E0342C" w:rsidRPr="00B31A73">
        <w:t xml:space="preserve"> relationships as correlations.  It shows how interest rates seem to have directly impacted prices when rates were very high</w:t>
      </w:r>
      <w:r w:rsidR="001802B5">
        <w:t xml:space="preserve"> (</w:t>
      </w:r>
      <w:r w:rsidR="00B519AD">
        <w:t xml:space="preserve">mostly </w:t>
      </w:r>
      <w:r w:rsidR="001802B5">
        <w:t xml:space="preserve">during </w:t>
      </w:r>
      <w:r w:rsidR="00B519AD">
        <w:t>the 1980’s</w:t>
      </w:r>
      <w:r w:rsidR="001802B5">
        <w:t>)</w:t>
      </w:r>
      <w:r w:rsidR="00E0342C" w:rsidRPr="00B31A73">
        <w:t xml:space="preserve">, and how sentiment and rates seem to counteract each other when rates are not high. </w:t>
      </w:r>
      <w:r w:rsidR="004C693D">
        <w:t xml:space="preserve"> There has been a very correlation between sentiment (ERS) and interest rates when rates are below 7%.</w:t>
      </w:r>
      <w:r w:rsidR="00E0342C" w:rsidRPr="00B31A73">
        <w:t xml:space="preserve"> Both these results </w:t>
      </w:r>
      <w:r w:rsidR="001802B5">
        <w:t>make sense.  R</w:t>
      </w:r>
      <w:r w:rsidR="00E0342C" w:rsidRPr="00B31A73">
        <w:t>ates often rise</w:t>
      </w:r>
      <w:r w:rsidR="001802B5" w:rsidRPr="001802B5">
        <w:t xml:space="preserve"> </w:t>
      </w:r>
      <w:r w:rsidR="001802B5" w:rsidRPr="00B31A73">
        <w:t xml:space="preserve">when the economy is good and sentiment </w:t>
      </w:r>
      <w:r w:rsidR="001802B5">
        <w:t>would be</w:t>
      </w:r>
      <w:r w:rsidR="001802B5" w:rsidRPr="00B31A73">
        <w:t xml:space="preserve"> rising</w:t>
      </w:r>
      <w:r w:rsidR="00E0342C" w:rsidRPr="00B31A73">
        <w:t>, for example due to Fed action or increased borrowing for investment in property and equipment</w:t>
      </w:r>
      <w:r w:rsidR="001802B5">
        <w:t>.</w:t>
      </w:r>
      <w:r w:rsidR="00E0342C" w:rsidRPr="00B31A73">
        <w:t xml:space="preserve">  </w:t>
      </w:r>
      <w:r w:rsidR="001802B5">
        <w:t>However, s</w:t>
      </w:r>
      <w:r w:rsidR="001802B5" w:rsidRPr="00B31A73">
        <w:t>entiment is likely to be less ebullient when rates and inflation are very high, as confirmed by the bottom row of the table.</w:t>
      </w:r>
      <w:r w:rsidR="001802B5">
        <w:t xml:space="preserve">  </w:t>
      </w:r>
      <w:r w:rsidR="00EB60F0">
        <w:t>T</w:t>
      </w:r>
      <w:r w:rsidR="001802B5">
        <w:t>he table shows</w:t>
      </w:r>
      <w:r w:rsidR="00E0342C" w:rsidRPr="00B31A73">
        <w:t xml:space="preserve"> nominal rates so higher inflation, which </w:t>
      </w:r>
      <w:r w:rsidR="00EB60F0">
        <w:t xml:space="preserve">would likely </w:t>
      </w:r>
      <w:r w:rsidR="00E0342C" w:rsidRPr="00B31A73">
        <w:t xml:space="preserve">increase the discount rate and future growth expectations simultaneously, plays a strong role. </w:t>
      </w:r>
    </w:p>
    <w:p w14:paraId="38BEC3DE" w14:textId="0F5104A0" w:rsidR="00E0342C" w:rsidRPr="00B31A73" w:rsidRDefault="00E0342C" w:rsidP="00815A39">
      <w:pPr>
        <w:spacing w:after="120"/>
      </w:pPr>
      <w:r w:rsidRPr="00B31A73">
        <w:t xml:space="preserve">The point of the information </w:t>
      </w:r>
      <w:r w:rsidR="00370BC3">
        <w:t xml:space="preserve">in Table 1 </w:t>
      </w:r>
      <w:r w:rsidRPr="00B31A73">
        <w:t>is not to identify any particular relationship between interest rates and equity prices.  The point is to identify that the direct relationship between interest rates and equity prices that we might expect to see is not clearly identifiable</w:t>
      </w:r>
      <w:r w:rsidR="00196A1E">
        <w:t>.</w:t>
      </w:r>
      <w:r w:rsidR="004C693D">
        <w:t xml:space="preserve">  </w:t>
      </w:r>
      <w:r w:rsidR="00196A1E">
        <w:t>That means that it may be</w:t>
      </w:r>
      <w:r w:rsidRPr="00B31A73">
        <w:t xml:space="preserve"> useful to better understand how the market is placing a price on current and expected future profits in a market.</w:t>
      </w:r>
    </w:p>
    <w:p w14:paraId="541E70A8" w14:textId="4D464CFD" w:rsidR="00E0342C" w:rsidRPr="00B31A73" w:rsidRDefault="00E0342C" w:rsidP="00815A39">
      <w:pPr>
        <w:spacing w:after="120"/>
        <w:rPr>
          <w:b/>
        </w:rPr>
      </w:pPr>
      <w:r w:rsidRPr="00B31A73">
        <w:rPr>
          <w:b/>
        </w:rPr>
        <w:t>U.S. Equity Risk Sentiment</w:t>
      </w:r>
    </w:p>
    <w:p w14:paraId="174E920F" w14:textId="40220984" w:rsidR="00E0342C" w:rsidRPr="00B31A73" w:rsidRDefault="00E0342C" w:rsidP="00815A39">
      <w:pPr>
        <w:spacing w:after="120"/>
      </w:pPr>
      <w:r w:rsidRPr="00B31A73">
        <w:t xml:space="preserve">A measure of market sentiment is directly identifiable for corporate bonds in the credit spread, but equities or other asset classes present a challenge in this regard.   Any metric for sentiment in a market other than fixed income (equity and real estate) must be calculated by adjusting for the impact of interest rates.   For equities, this </w:t>
      </w:r>
      <w:r w:rsidR="008740E0">
        <w:t>article</w:t>
      </w:r>
      <w:r w:rsidRPr="00B31A73">
        <w:t xml:space="preserve"> uses the CAPE metric to represent price (cost for each annual dollar of income).  Because price increases when the risk-free rate decreases or sentiment increases, the simple metric</w:t>
      </w:r>
    </w:p>
    <w:p w14:paraId="098D08DE" w14:textId="588BC32D" w:rsidR="00E0342C" w:rsidRPr="00B31A73" w:rsidRDefault="00E0342C" w:rsidP="004B1B2F">
      <w:pPr>
        <w:ind w:left="720"/>
      </w:pPr>
      <w:r w:rsidRPr="00B31A73">
        <w:t>CAPE minus the inverse of the 10-year Treasury yield</w:t>
      </w:r>
    </w:p>
    <w:p w14:paraId="1869FC0D" w14:textId="7DDDB497" w:rsidR="00E0342C" w:rsidRPr="00B31A73" w:rsidRDefault="00E0342C" w:rsidP="004B1B2F">
      <w:pPr>
        <w:ind w:left="720"/>
      </w:pPr>
      <w:r w:rsidRPr="00B31A73">
        <w:t xml:space="preserve">(essentially </w:t>
      </w:r>
      <w:r w:rsidR="00A91C30">
        <w:t xml:space="preserve">the difference between </w:t>
      </w:r>
      <w:r w:rsidRPr="00B31A73">
        <w:t xml:space="preserve">equity prices </w:t>
      </w:r>
      <w:r w:rsidR="00A91C30">
        <w:t>and</w:t>
      </w:r>
      <w:r w:rsidRPr="00B31A73">
        <w:t xml:space="preserve"> risk-free bond prices) </w:t>
      </w:r>
    </w:p>
    <w:p w14:paraId="0A6CE203" w14:textId="77777777" w:rsidR="00E0342C" w:rsidRPr="00B31A73" w:rsidRDefault="00E0342C" w:rsidP="004B1B2F">
      <w:pPr>
        <w:ind w:left="720"/>
      </w:pPr>
    </w:p>
    <w:p w14:paraId="3A7EF441" w14:textId="158FA17E" w:rsidR="00E0342C" w:rsidRPr="00B31A73" w:rsidRDefault="00E0342C" w:rsidP="00815A39">
      <w:pPr>
        <w:spacing w:after="120"/>
      </w:pPr>
      <w:r w:rsidRPr="00B31A73">
        <w:t>can be used for an equity market.  As will become clear</w:t>
      </w:r>
      <w:r w:rsidR="00EB60F0">
        <w:t>,</w:t>
      </w:r>
      <w:r w:rsidRPr="00B31A73">
        <w:t xml:space="preserve"> the form of this metric is convenient and it has a strong relationship with future returns, in part because of how it reflects duration in equity and bond prices (see </w:t>
      </w:r>
      <w:r w:rsidR="00770D3B">
        <w:t xml:space="preserve">the </w:t>
      </w:r>
      <w:r w:rsidRPr="00B31A73">
        <w:t>“Risk Sentiment</w:t>
      </w:r>
      <w:r w:rsidR="00196A1E">
        <w:t>,</w:t>
      </w:r>
      <w:r w:rsidRPr="00B31A73">
        <w:t xml:space="preserve"> Risk Premium</w:t>
      </w:r>
      <w:r w:rsidR="00196A1E">
        <w:t xml:space="preserve"> or the Fed Model</w:t>
      </w:r>
      <w:r w:rsidRPr="00B31A73">
        <w:t xml:space="preserve"> for Forecasting?” </w:t>
      </w:r>
      <w:r w:rsidR="00770D3B">
        <w:t xml:space="preserve">section </w:t>
      </w:r>
      <w:r w:rsidRPr="00B31A73">
        <w:t xml:space="preserve">below).  It is used in the rest of this </w:t>
      </w:r>
      <w:r w:rsidR="008740E0">
        <w:t>article</w:t>
      </w:r>
      <w:r w:rsidRPr="00B31A73">
        <w:t xml:space="preserve"> and is referred to as equity risk sentiment or ERS.  An additive factor is included to roughly center it at 0 for convenience of interpretation.  A different factor is added to the metric depending on the time period</w:t>
      </w:r>
      <w:r w:rsidR="000F78C9">
        <w:t xml:space="preserve"> because the average ERS is different for different time periods</w:t>
      </w:r>
      <w:bookmarkStart w:id="0" w:name="_GoBack"/>
      <w:bookmarkEnd w:id="0"/>
      <w:r w:rsidRPr="00B31A73">
        <w:t xml:space="preserve">.  The history of the metric, using data from 1871 – 2018 and an additive factor of 10, is shown in </w:t>
      </w:r>
      <w:r w:rsidR="00D6100D">
        <w:t>Figure 2</w:t>
      </w:r>
      <w:r w:rsidRPr="00B31A73">
        <w:t xml:space="preserve">.  </w:t>
      </w:r>
    </w:p>
    <w:p w14:paraId="4E260770" w14:textId="257457D6" w:rsidR="00E0342C" w:rsidRPr="00B31A73" w:rsidRDefault="00E0342C" w:rsidP="00815A39">
      <w:pPr>
        <w:spacing w:after="120"/>
      </w:pPr>
      <w:r w:rsidRPr="00B31A73">
        <w:t xml:space="preserve">The level of the </w:t>
      </w:r>
      <w:r w:rsidR="00196A1E">
        <w:t xml:space="preserve">risk </w:t>
      </w:r>
      <w:r w:rsidRPr="00B31A73">
        <w:t>sentiment metric and changes in the metric seem to capture key eras and moments in history:</w:t>
      </w:r>
    </w:p>
    <w:p w14:paraId="14725DEE" w14:textId="21B7844F" w:rsidR="00E0342C" w:rsidRPr="00B31A73" w:rsidRDefault="00E0342C" w:rsidP="00686C34">
      <w:pPr>
        <w:pStyle w:val="ListParagraph"/>
        <w:numPr>
          <w:ilvl w:val="0"/>
          <w:numId w:val="10"/>
        </w:numPr>
        <w:rPr>
          <w:rFonts w:ascii="Times New Roman" w:hAnsi="Times New Roman" w:cs="Times New Roman"/>
          <w:sz w:val="24"/>
          <w:szCs w:val="24"/>
        </w:rPr>
      </w:pPr>
      <w:r w:rsidRPr="00B31A73">
        <w:rPr>
          <w:rFonts w:ascii="Times New Roman" w:hAnsi="Times New Roman" w:cs="Times New Roman"/>
          <w:sz w:val="24"/>
          <w:szCs w:val="24"/>
        </w:rPr>
        <w:t>Decreasing sentiment during World War I</w:t>
      </w:r>
    </w:p>
    <w:p w14:paraId="23F83E9D" w14:textId="38DF673E" w:rsidR="00E0342C" w:rsidRPr="00B31A73" w:rsidRDefault="00E0342C" w:rsidP="00686C34">
      <w:pPr>
        <w:pStyle w:val="ListParagraph"/>
        <w:numPr>
          <w:ilvl w:val="0"/>
          <w:numId w:val="10"/>
        </w:numPr>
        <w:rPr>
          <w:rFonts w:ascii="Times New Roman" w:hAnsi="Times New Roman" w:cs="Times New Roman"/>
          <w:sz w:val="24"/>
          <w:szCs w:val="24"/>
        </w:rPr>
      </w:pPr>
      <w:r w:rsidRPr="00B31A73">
        <w:rPr>
          <w:rFonts w:ascii="Times New Roman" w:hAnsi="Times New Roman" w:cs="Times New Roman"/>
          <w:sz w:val="24"/>
          <w:szCs w:val="24"/>
        </w:rPr>
        <w:t>Stabilizing sentiment and then an increase and a peak at the end of the roaring 20’s</w:t>
      </w:r>
    </w:p>
    <w:p w14:paraId="0586C83B" w14:textId="3B2424FF" w:rsidR="00E0342C" w:rsidRPr="00B31A73" w:rsidRDefault="000B3589" w:rsidP="00686C3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w:t>
      </w:r>
      <w:r w:rsidR="00E0342C" w:rsidRPr="00B31A73">
        <w:rPr>
          <w:rFonts w:ascii="Times New Roman" w:hAnsi="Times New Roman" w:cs="Times New Roman"/>
          <w:sz w:val="24"/>
          <w:szCs w:val="24"/>
        </w:rPr>
        <w:t xml:space="preserve"> steady drop during the depression of the 1930’s</w:t>
      </w:r>
    </w:p>
    <w:p w14:paraId="1EBC45F2" w14:textId="17877DE5" w:rsidR="00E0342C" w:rsidRPr="00B31A73" w:rsidRDefault="000B3589" w:rsidP="00686C3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 </w:t>
      </w:r>
      <w:r w:rsidR="00E0342C" w:rsidRPr="00B31A73">
        <w:rPr>
          <w:rFonts w:ascii="Times New Roman" w:hAnsi="Times New Roman" w:cs="Times New Roman"/>
          <w:sz w:val="24"/>
          <w:szCs w:val="24"/>
        </w:rPr>
        <w:t>historic low in 1941 as the U.S. worried about the global war</w:t>
      </w:r>
    </w:p>
    <w:p w14:paraId="1FF51C64" w14:textId="395A8C58" w:rsidR="00E0342C" w:rsidRPr="00B31A73" w:rsidRDefault="000B3589" w:rsidP="00686C3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w:t>
      </w:r>
      <w:r w:rsidR="00E0342C" w:rsidRPr="00B31A73">
        <w:rPr>
          <w:rFonts w:ascii="Times New Roman" w:hAnsi="Times New Roman" w:cs="Times New Roman"/>
          <w:sz w:val="24"/>
          <w:szCs w:val="24"/>
        </w:rPr>
        <w:t>teady negative sentiment during World War II</w:t>
      </w:r>
    </w:p>
    <w:p w14:paraId="37D40578" w14:textId="28033582" w:rsidR="00E0342C" w:rsidRPr="00B31A73" w:rsidRDefault="000B3589" w:rsidP="00686C3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w:t>
      </w:r>
      <w:r w:rsidR="00E0342C" w:rsidRPr="00B31A73">
        <w:rPr>
          <w:rFonts w:ascii="Times New Roman" w:hAnsi="Times New Roman" w:cs="Times New Roman"/>
          <w:sz w:val="24"/>
          <w:szCs w:val="24"/>
        </w:rPr>
        <w:t xml:space="preserve"> strong consistent increase as the country recovered in the golden years after World War II</w:t>
      </w:r>
    </w:p>
    <w:p w14:paraId="377F1A9E" w14:textId="5DADD65B" w:rsidR="00E0342C" w:rsidRPr="00B31A73" w:rsidRDefault="000B3589" w:rsidP="00686C3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 </w:t>
      </w:r>
      <w:r w:rsidR="00E0342C" w:rsidRPr="00B31A73">
        <w:rPr>
          <w:rFonts w:ascii="Times New Roman" w:hAnsi="Times New Roman" w:cs="Times New Roman"/>
          <w:sz w:val="24"/>
          <w:szCs w:val="24"/>
        </w:rPr>
        <w:t xml:space="preserve">drop in the late 1960’s and early 1970’s perhaps reflecting angst about the Vietnam war, racial tensions and Watergate </w:t>
      </w:r>
    </w:p>
    <w:p w14:paraId="5BE29B0B" w14:textId="715DD377" w:rsidR="00E0342C" w:rsidRPr="00B31A73" w:rsidRDefault="000B3589" w:rsidP="00686C34">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w:t>
      </w:r>
      <w:r w:rsidR="00E0342C" w:rsidRPr="00B31A73">
        <w:rPr>
          <w:rFonts w:ascii="Times New Roman" w:hAnsi="Times New Roman" w:cs="Times New Roman"/>
          <w:sz w:val="24"/>
          <w:szCs w:val="24"/>
        </w:rPr>
        <w:t>teady, positive sentiment through the steady growth years of the 1980’s and 1990’s then taking off and peaking at the top of the technology bubble</w:t>
      </w:r>
    </w:p>
    <w:p w14:paraId="1409095A" w14:textId="3AC59E13" w:rsidR="00E0342C" w:rsidRPr="00B31A73" w:rsidRDefault="000B3589" w:rsidP="00CA630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w:t>
      </w:r>
      <w:r w:rsidR="00E0342C" w:rsidRPr="00B31A73">
        <w:rPr>
          <w:rFonts w:ascii="Times New Roman" w:hAnsi="Times New Roman" w:cs="Times New Roman"/>
          <w:sz w:val="24"/>
          <w:szCs w:val="24"/>
        </w:rPr>
        <w:t>ow levels after the financial crisis in 2008 created a new uncertainty about the future of the economy</w:t>
      </w:r>
    </w:p>
    <w:p w14:paraId="051F189E" w14:textId="7EC81AAA" w:rsidR="00E0342C" w:rsidRDefault="00E0342C" w:rsidP="00815A39">
      <w:pPr>
        <w:spacing w:after="120"/>
      </w:pPr>
      <w:r w:rsidRPr="00B31A73">
        <w:t xml:space="preserve">The idea that the geopolitical events shown above would be reflected in the sentiment for financial markets is speculation of course, but is not entirely far-fetched.  This phenomenon would not be expected in a chart showing the history of the CAPE metric, because the level of interest rates would cloud the picture.  By removing the influence of rates on valuations we seem to get </w:t>
      </w:r>
      <w:r w:rsidR="00EB60F0">
        <w:t>a measure which shows that</w:t>
      </w:r>
      <w:r w:rsidRPr="00B31A73">
        <w:t xml:space="preserve"> the mood of the country </w:t>
      </w:r>
      <w:r w:rsidR="00EB60F0">
        <w:t>can be</w:t>
      </w:r>
      <w:r w:rsidRPr="00B31A73">
        <w:t xml:space="preserve"> reflected in the economy and financial markets.</w:t>
      </w:r>
    </w:p>
    <w:p w14:paraId="5DB3D6E7" w14:textId="3736AB25" w:rsidR="00EB60F0" w:rsidRPr="00B31A73" w:rsidRDefault="00EB60F0" w:rsidP="00815A39">
      <w:pPr>
        <w:spacing w:after="120"/>
      </w:pPr>
      <w:r>
        <w:t>It's interesting to note that ERS is overwhelmingly positive during the last 60 years.  This could be attributed to demographic and retirement savings trends which increased demand for equities</w:t>
      </w:r>
      <w:r w:rsidR="00514013">
        <w:t>.  It might be related to broader ownership of financial assets resulted from the popularity of mutual funds and passive investing.</w:t>
      </w:r>
    </w:p>
    <w:p w14:paraId="76436FE2" w14:textId="6D7F499E" w:rsidR="00E0342C" w:rsidRPr="00B31A73" w:rsidRDefault="00E0342C" w:rsidP="00815A39">
      <w:pPr>
        <w:spacing w:after="120"/>
      </w:pPr>
      <w:r w:rsidRPr="00B31A73">
        <w:t>See Appendix</w:t>
      </w:r>
      <w:r w:rsidR="00D6100D">
        <w:t xml:space="preserve"> I</w:t>
      </w:r>
      <w:r w:rsidRPr="00B31A73">
        <w:t xml:space="preserve"> for a mathematical justification for risk sentiment metric.  This includes a clarification of the use of earnings rather than dividends in the ERS metric</w:t>
      </w:r>
      <w:r w:rsidR="008C5E81">
        <w:t xml:space="preserve"> and the important </w:t>
      </w:r>
      <w:r w:rsidR="000F78C9">
        <w:t>connection between risk premiums and growth expectations</w:t>
      </w:r>
      <w:r w:rsidRPr="00B31A73">
        <w:t>.</w:t>
      </w:r>
    </w:p>
    <w:p w14:paraId="64FE4FE2" w14:textId="028D4CAB" w:rsidR="00F7339C" w:rsidRDefault="00F7339C" w:rsidP="00815A39">
      <w:pPr>
        <w:spacing w:after="120"/>
      </w:pPr>
      <w:r w:rsidRPr="00F7339C">
        <w:t>The risk sentiment metric is a broader concept</w:t>
      </w:r>
      <w:r w:rsidR="00514013">
        <w:t xml:space="preserve">, with a longer horizon, </w:t>
      </w:r>
      <w:r w:rsidRPr="00F7339C">
        <w:t>than “sentiment” as we often think of it</w:t>
      </w:r>
      <w:r w:rsidR="000F78C9">
        <w:t xml:space="preserve"> with regard to financial markets</w:t>
      </w:r>
      <w:r w:rsidRPr="00F7339C">
        <w:t xml:space="preserve"> but it is conceptually very similar.  It appears to be a simple and sensible representation for how market </w:t>
      </w:r>
      <w:r w:rsidR="000349DE">
        <w:t>attitudes towards risk</w:t>
      </w:r>
      <w:r w:rsidRPr="00F7339C">
        <w:t xml:space="preserve"> impact discount rates</w:t>
      </w:r>
      <w:r>
        <w:t xml:space="preserve"> at different periods in the equity market</w:t>
      </w:r>
      <w:r w:rsidRPr="00F7339C">
        <w:t>.  It seems to have some interesting potential, but can the metric provide useful market insight?</w:t>
      </w:r>
    </w:p>
    <w:p w14:paraId="1FCE88D4" w14:textId="5163E1EA" w:rsidR="00AA0DD6" w:rsidRDefault="00AA0DD6">
      <w:pPr>
        <w:spacing w:after="160" w:line="259" w:lineRule="auto"/>
      </w:pPr>
      <w:r>
        <w:lastRenderedPageBreak/>
        <w:br w:type="page"/>
      </w:r>
    </w:p>
    <w:p w14:paraId="7FDEB0FC" w14:textId="77777777" w:rsidR="00AA0DD6" w:rsidRPr="00F7339C" w:rsidRDefault="00AA0DD6" w:rsidP="00815A39">
      <w:pPr>
        <w:spacing w:after="120"/>
      </w:pPr>
    </w:p>
    <w:p w14:paraId="3FAA2203" w14:textId="6606BA3B" w:rsidR="00E0342C" w:rsidRPr="00B31A73" w:rsidRDefault="00E0342C" w:rsidP="00815A39">
      <w:pPr>
        <w:spacing w:after="120"/>
        <w:rPr>
          <w:b/>
          <w:u w:val="single"/>
        </w:rPr>
      </w:pPr>
      <w:r w:rsidRPr="00B31A73">
        <w:rPr>
          <w:b/>
          <w:u w:val="single"/>
        </w:rPr>
        <w:t>FORECASTING RETURNS AND THE EQUITY RISK PREMIUM</w:t>
      </w:r>
    </w:p>
    <w:p w14:paraId="2272FF28" w14:textId="77777777" w:rsidR="00E0342C" w:rsidRPr="00B31A73" w:rsidRDefault="00E0342C" w:rsidP="00815A39">
      <w:pPr>
        <w:spacing w:after="120"/>
        <w:rPr>
          <w:b/>
        </w:rPr>
      </w:pPr>
      <w:r w:rsidRPr="00B31A73">
        <w:rPr>
          <w:b/>
        </w:rPr>
        <w:t>Correlation of Equity Market Sentiment with Subsequent Returns</w:t>
      </w:r>
    </w:p>
    <w:p w14:paraId="30B3657E" w14:textId="7F501794" w:rsidR="00E0342C" w:rsidRPr="00B31A73" w:rsidRDefault="00E0342C" w:rsidP="00815A39">
      <w:pPr>
        <w:spacing w:after="120"/>
      </w:pPr>
      <w:r w:rsidRPr="00B31A73">
        <w:t>If the concept of equity risk sentiment (ERS), calculated as the CAPE – 1</w:t>
      </w:r>
      <w:proofErr w:type="gramStart"/>
      <w:r w:rsidRPr="00B31A73">
        <w:t>/[</w:t>
      </w:r>
      <w:proofErr w:type="gramEnd"/>
      <w:r w:rsidRPr="00B31A73">
        <w:t xml:space="preserve">10 year Treasury yield], is valid, it should have a strong relationship with future returns and especially with excess returns above Treasury bond returns.  This is indeed the case for large cap U.S. stocks.  In fact, sentiment </w:t>
      </w:r>
      <w:r w:rsidR="00234D27">
        <w:t>has been more strongly correlated with</w:t>
      </w:r>
      <w:r w:rsidRPr="00B31A73">
        <w:t xml:space="preserve"> both excess </w:t>
      </w:r>
      <w:proofErr w:type="gramStart"/>
      <w:r w:rsidRPr="00B31A73">
        <w:t>equity</w:t>
      </w:r>
      <w:proofErr w:type="gramEnd"/>
      <w:r w:rsidRPr="00B31A73">
        <w:t xml:space="preserve"> returns and nominal equity returns than the CAPE metric over almost any time horizon</w:t>
      </w:r>
      <w:r w:rsidR="007D4267">
        <w:t>, as shown in Table 2</w:t>
      </w:r>
      <w:r w:rsidRPr="00B31A73">
        <w:t xml:space="preserve">.  </w:t>
      </w:r>
    </w:p>
    <w:p w14:paraId="58924F48" w14:textId="77777777" w:rsidR="00AA0DD6" w:rsidRDefault="007D4267" w:rsidP="00815A39">
      <w:pPr>
        <w:spacing w:after="120"/>
      </w:pPr>
      <w:r w:rsidRPr="00B31A73">
        <w:t xml:space="preserve">Note that the </w:t>
      </w:r>
      <w:r>
        <w:t xml:space="preserve">results for the </w:t>
      </w:r>
      <w:r w:rsidR="00730092">
        <w:t>dataset s</w:t>
      </w:r>
      <w:r>
        <w:t xml:space="preserve">tarting in </w:t>
      </w:r>
      <w:r w:rsidRPr="00B31A73">
        <w:t xml:space="preserve">1881 includes </w:t>
      </w:r>
      <w:r w:rsidR="00514013">
        <w:t xml:space="preserve">earnings </w:t>
      </w:r>
      <w:r w:rsidRPr="00B31A73">
        <w:t>data back to 1871 in order to determine the CAPE ratio at 1881.  The period starting in 1926 is shown because dividend and earnings data for equities are more precise starting in that year.  The period starting in 1953 is shown because the bond information prior to that year is only a proxy for a 10-year Treasury rate.  See Data and Methods for more information</w:t>
      </w:r>
      <w:r w:rsidR="00AA0DD6">
        <w:t>.</w:t>
      </w:r>
    </w:p>
    <w:p w14:paraId="7C51C95D" w14:textId="03A1CE82" w:rsidR="00E0342C" w:rsidRDefault="00E0342C" w:rsidP="00815A39">
      <w:pPr>
        <w:spacing w:after="120"/>
      </w:pPr>
      <w:r w:rsidRPr="00B31A73">
        <w:t>The correlation between ERS and long horizon excess returns is startling high.  At first glance, this is puzzling, but a moment’s reflection provides the possible answer:  when actual excess returns are lower than predicted by the metric during the first n years of a forecast period, they will tend to be higher in the remainder of the forecast period</w:t>
      </w:r>
      <w:r w:rsidR="002D6D80">
        <w:t xml:space="preserve"> after the year n</w:t>
      </w:r>
      <w:r w:rsidRPr="00B31A73">
        <w:t xml:space="preserve"> and vice versa.  Using the full data set back to 1881, the statistics in </w:t>
      </w:r>
      <w:r w:rsidR="007D4267">
        <w:t>Table 3</w:t>
      </w:r>
      <w:r w:rsidRPr="00B31A73">
        <w:t xml:space="preserve"> show this phenomenon.  The relationship for excess returns and ERS is weaker for periods that are further away from the starting time point, but the negative relationship between</w:t>
      </w:r>
      <w:r w:rsidR="002D6D80">
        <w:t xml:space="preserve"> unexpected</w:t>
      </w:r>
      <w:r w:rsidRPr="00B31A73">
        <w:t xml:space="preserve"> excess returns in one period and excess returns in the following period helps to keep the relationship to ERS at the starting point strong for long forecast periods.</w:t>
      </w:r>
    </w:p>
    <w:p w14:paraId="6CB1C18F" w14:textId="77777777" w:rsidR="002D6D80" w:rsidRDefault="00C132BA" w:rsidP="00504DB4">
      <w:pPr>
        <w:spacing w:after="120"/>
      </w:pPr>
      <w:r>
        <w:t>Understanding the potential for excess equity returns should help make long</w:t>
      </w:r>
      <w:r w:rsidR="002D6D80">
        <w:t xml:space="preserve"> horizon</w:t>
      </w:r>
      <w:r>
        <w:t xml:space="preserve"> (as opposed to tactical) allocation decisions, while nominal returns are most valuable for investors like pension investors who are not fully exposed to inflation.  Unfortunately, real returns </w:t>
      </w:r>
      <w:r w:rsidR="00DC3905">
        <w:t>prove more challenging to forecast</w:t>
      </w:r>
      <w:r w:rsidR="002B5D6B">
        <w:t xml:space="preserve">, </w:t>
      </w:r>
      <w:r w:rsidR="002D6D80">
        <w:t>but</w:t>
      </w:r>
      <w:r w:rsidR="002B5D6B">
        <w:t xml:space="preserve"> </w:t>
      </w:r>
      <w:r w:rsidR="005F133A">
        <w:t>this makes sense</w:t>
      </w:r>
      <w:r w:rsidR="002B5D6B">
        <w:t xml:space="preserve">.  </w:t>
      </w:r>
    </w:p>
    <w:p w14:paraId="4D99BB0A" w14:textId="7CEC65F9" w:rsidR="009A79BB" w:rsidRDefault="002D6D80" w:rsidP="00504DB4">
      <w:pPr>
        <w:spacing w:after="120"/>
      </w:pPr>
      <w:r>
        <w:t>Inflation has no impact on equity prices because it pushes up growth expectations and the discount rate together and the impact</w:t>
      </w:r>
      <w:r w:rsidR="000330BB">
        <w:t>s</w:t>
      </w:r>
      <w:r>
        <w:t xml:space="preserve"> </w:t>
      </w:r>
      <w:r w:rsidR="000330BB">
        <w:t>o</w:t>
      </w:r>
      <w:r>
        <w:t xml:space="preserve">ffset.  </w:t>
      </w:r>
      <w:r w:rsidR="009A79BB">
        <w:t>At the same time, h</w:t>
      </w:r>
      <w:r>
        <w:t>igher inflation expectations reduce bond prices, increas</w:t>
      </w:r>
      <w:r w:rsidR="009A79BB">
        <w:t>ing</w:t>
      </w:r>
      <w:r>
        <w:t xml:space="preserve"> the sentiment metric (equities would be favored over bonds)</w:t>
      </w:r>
      <w:r w:rsidR="009A79BB">
        <w:t>,</w:t>
      </w:r>
      <w:r>
        <w:t xml:space="preserve"> </w:t>
      </w:r>
      <w:r w:rsidR="000330BB">
        <w:t>indicating</w:t>
      </w:r>
      <w:r>
        <w:t xml:space="preserve"> a lower risk premium and lower expected equity returns.  However, actual future inflation </w:t>
      </w:r>
      <w:r w:rsidR="009A79BB">
        <w:t>would push up prices over longer horizons and therefore have little impact on actual real returns.</w:t>
      </w:r>
    </w:p>
    <w:p w14:paraId="22A6038F" w14:textId="629BC599" w:rsidR="002D6D80" w:rsidRDefault="002D6D80" w:rsidP="00504DB4">
      <w:pPr>
        <w:spacing w:after="120"/>
      </w:pPr>
      <w:r>
        <w:t xml:space="preserve">The CAPE metric on its own is </w:t>
      </w:r>
      <w:r w:rsidR="009A79BB">
        <w:t xml:space="preserve">much </w:t>
      </w:r>
      <w:r>
        <w:t>more highly correlated with future real returns</w:t>
      </w:r>
      <w:r w:rsidR="00A3098A">
        <w:t xml:space="preserve"> and therefore should be of high value to those concerned with real returns such as those planning for retirement</w:t>
      </w:r>
      <w:r w:rsidR="000330BB">
        <w:t xml:space="preserve">. </w:t>
      </w:r>
      <w:r w:rsidR="009A79BB">
        <w:t xml:space="preserve"> T</w:t>
      </w:r>
      <w:r>
        <w:t xml:space="preserve">he </w:t>
      </w:r>
      <w:r w:rsidR="009A79BB">
        <w:t xml:space="preserve">offsetting </w:t>
      </w:r>
      <w:r>
        <w:t>impact o</w:t>
      </w:r>
      <w:r w:rsidR="009A79BB">
        <w:t>n</w:t>
      </w:r>
      <w:r>
        <w:t xml:space="preserve"> growth</w:t>
      </w:r>
      <w:r w:rsidR="009A79BB">
        <w:t xml:space="preserve"> expectations</w:t>
      </w:r>
      <w:r>
        <w:t xml:space="preserve"> and </w:t>
      </w:r>
      <w:r w:rsidR="009A79BB">
        <w:t xml:space="preserve">a </w:t>
      </w:r>
      <w:r w:rsidR="000330BB">
        <w:t xml:space="preserve">higher discount rate </w:t>
      </w:r>
      <w:r w:rsidR="009A79BB">
        <w:t xml:space="preserve">eliminates most of the impact </w:t>
      </w:r>
      <w:r w:rsidR="000330BB">
        <w:t>on the CAPE metric.</w:t>
      </w:r>
      <w:r w:rsidR="009A79BB">
        <w:t xml:space="preserve">  Since future inflation has little impact on future real returns over longer horizons, inflation has little impact on the CAPE metric’s relationship to future real returns.</w:t>
      </w:r>
      <w:r w:rsidR="000330BB">
        <w:t xml:space="preserve">  With a longer history of real yields, there might be potential for a real ERS metric that would help with forecasting real </w:t>
      </w:r>
      <w:r w:rsidR="009A79BB">
        <w:t xml:space="preserve">equity </w:t>
      </w:r>
      <w:r w:rsidR="000330BB">
        <w:t>returns.</w:t>
      </w:r>
    </w:p>
    <w:p w14:paraId="451BC9F7" w14:textId="3118B94B" w:rsidR="00F7339C" w:rsidRPr="00F7339C" w:rsidRDefault="00F7339C" w:rsidP="00815A39">
      <w:pPr>
        <w:spacing w:after="120"/>
        <w:rPr>
          <w:b/>
        </w:rPr>
      </w:pPr>
      <w:r w:rsidRPr="00F7339C">
        <w:rPr>
          <w:b/>
        </w:rPr>
        <w:t>Non-Overlapping Data</w:t>
      </w:r>
    </w:p>
    <w:p w14:paraId="70B4F6F7" w14:textId="4F7A92EE" w:rsidR="00E0342C" w:rsidRPr="00B31A73" w:rsidRDefault="00E0342C" w:rsidP="00815A39">
      <w:pPr>
        <w:spacing w:after="120"/>
      </w:pPr>
      <w:r w:rsidRPr="00B31A73">
        <w:t xml:space="preserve">In order to avoid drawing conclusions that are too strong from the results of the simple correlation statistics using overlapping data shown above, statistics based on </w:t>
      </w:r>
      <w:r w:rsidR="00A3098A">
        <w:t xml:space="preserve">12 or </w:t>
      </w:r>
      <w:r w:rsidRPr="00B31A73">
        <w:t>13</w:t>
      </w:r>
      <w:r w:rsidR="00A3098A">
        <w:t xml:space="preserve"> </w:t>
      </w:r>
      <w:r w:rsidRPr="00B31A73">
        <w:lastRenderedPageBreak/>
        <w:t xml:space="preserve">independent 10-year periods and </w:t>
      </w:r>
      <w:r w:rsidR="00A3098A">
        <w:t xml:space="preserve">16 or </w:t>
      </w:r>
      <w:r w:rsidRPr="00B31A73">
        <w:t>17</w:t>
      </w:r>
      <w:r w:rsidR="00A3098A">
        <w:t xml:space="preserve"> </w:t>
      </w:r>
      <w:r w:rsidRPr="00B31A73">
        <w:t>independent 8-year periods were calculated.</w:t>
      </w:r>
      <w:r w:rsidR="00A3098A">
        <w:t xml:space="preserve">  The number of periods is adjusted so that the final period does not extend beyond 2018.</w:t>
      </w:r>
      <w:r w:rsidRPr="00B31A73">
        <w:t xml:space="preserve">  The results are shown</w:t>
      </w:r>
      <w:r w:rsidR="00B872AC">
        <w:t xml:space="preserve"> in Table 4</w:t>
      </w:r>
      <w:r w:rsidR="00F7339C">
        <w:t>.</w:t>
      </w:r>
    </w:p>
    <w:p w14:paraId="1A1EEC49" w14:textId="357715F0" w:rsidR="00E0342C" w:rsidRPr="00B31A73" w:rsidRDefault="00E0342C" w:rsidP="00815A39">
      <w:pPr>
        <w:spacing w:after="120"/>
      </w:pPr>
      <w:r w:rsidRPr="00B31A73">
        <w:t xml:space="preserve">The t-statistics for statistical significance </w:t>
      </w:r>
      <w:r w:rsidR="002B4E2F">
        <w:t>of the linear relationship indicates a strong connection between both future excess returns and future nominal returns with the ERS metric.</w:t>
      </w:r>
    </w:p>
    <w:p w14:paraId="3EE49024" w14:textId="77777777" w:rsidR="00E0342C" w:rsidRPr="00B31A73" w:rsidRDefault="00E0342C" w:rsidP="00815A39">
      <w:pPr>
        <w:spacing w:after="120"/>
        <w:rPr>
          <w:b/>
        </w:rPr>
      </w:pPr>
      <w:r w:rsidRPr="00B31A73">
        <w:rPr>
          <w:b/>
        </w:rPr>
        <w:t>Predicting Returns</w:t>
      </w:r>
    </w:p>
    <w:p w14:paraId="617A7DFB" w14:textId="026B4AB0" w:rsidR="00E0342C" w:rsidRPr="00B31A73" w:rsidRDefault="00D6100D" w:rsidP="00815A39">
      <w:pPr>
        <w:spacing w:after="120"/>
      </w:pPr>
      <w:r>
        <w:t>Figure 3</w:t>
      </w:r>
      <w:r w:rsidR="00E0342C" w:rsidRPr="00B31A73">
        <w:t xml:space="preserve"> uses the ERS metric to predict returns over the following 20 years with a simple regression formula.  Historical excess returns for 20 years are regressed against ERS at the beginning of the period.  Then the predicted excess returns are added to the 10-year Treasury yield at the beginning of the period to predict future nominal returns.</w:t>
      </w:r>
    </w:p>
    <w:p w14:paraId="7B2D8F3A" w14:textId="6835791C" w:rsidR="00E0342C" w:rsidRPr="00B31A73" w:rsidRDefault="00E0342C" w:rsidP="00815A39">
      <w:pPr>
        <w:spacing w:after="120"/>
      </w:pPr>
      <w:r w:rsidRPr="00B31A73">
        <w:t>In the chart, which uses the full dataset,</w:t>
      </w:r>
    </w:p>
    <w:p w14:paraId="38BDC719" w14:textId="039D1C01" w:rsidR="00E0342C" w:rsidRPr="00B31A73" w:rsidRDefault="00E0342C" w:rsidP="00815A39">
      <w:pPr>
        <w:spacing w:after="120"/>
        <w:ind w:left="720"/>
      </w:pPr>
      <w:r w:rsidRPr="00B31A73">
        <w:t xml:space="preserve">Predicted </w:t>
      </w:r>
      <w:r w:rsidR="00F0738E">
        <w:t xml:space="preserve">20-year </w:t>
      </w:r>
      <w:r w:rsidRPr="00B31A73">
        <w:t>return = 10YrT + PredExcessEq</w:t>
      </w:r>
      <w:r w:rsidRPr="00B31A73">
        <w:rPr>
          <w:vertAlign w:val="subscript"/>
        </w:rPr>
        <w:t xml:space="preserve">20 </w:t>
      </w:r>
      <w:r w:rsidRPr="00B31A73">
        <w:t>= 10YrT + 4.5</w:t>
      </w:r>
      <w:r w:rsidR="00A3098A">
        <w:t>2</w:t>
      </w:r>
      <w:r w:rsidRPr="00B31A73">
        <w:t>% - .0022 * ERS</w:t>
      </w:r>
    </w:p>
    <w:p w14:paraId="5A0D62A2" w14:textId="775842D8" w:rsidR="00E0342C" w:rsidRPr="00B31A73" w:rsidRDefault="00E0342C" w:rsidP="00603FAD">
      <w:pPr>
        <w:pStyle w:val="ListParagraph"/>
        <w:numPr>
          <w:ilvl w:val="0"/>
          <w:numId w:val="2"/>
        </w:numPr>
        <w:rPr>
          <w:rFonts w:ascii="Times New Roman" w:hAnsi="Times New Roman" w:cs="Times New Roman"/>
          <w:sz w:val="24"/>
          <w:szCs w:val="24"/>
        </w:rPr>
      </w:pPr>
      <w:r w:rsidRPr="00B31A73">
        <w:rPr>
          <w:rFonts w:ascii="Times New Roman" w:hAnsi="Times New Roman" w:cs="Times New Roman"/>
          <w:sz w:val="24"/>
          <w:szCs w:val="24"/>
        </w:rPr>
        <w:t>PredExcessEq</w:t>
      </w:r>
      <w:r w:rsidRPr="00B31A73">
        <w:rPr>
          <w:rFonts w:ascii="Times New Roman" w:hAnsi="Times New Roman" w:cs="Times New Roman"/>
          <w:sz w:val="24"/>
          <w:szCs w:val="24"/>
          <w:vertAlign w:val="subscript"/>
        </w:rPr>
        <w:t>20</w:t>
      </w:r>
      <w:r w:rsidRPr="00B31A73">
        <w:rPr>
          <w:rFonts w:ascii="Times New Roman" w:hAnsi="Times New Roman" w:cs="Times New Roman"/>
          <w:sz w:val="24"/>
          <w:szCs w:val="24"/>
        </w:rPr>
        <w:t xml:space="preserve"> = Predicted excess return on equities above the return on 10-year Treasury Bonds over 20 years</w:t>
      </w:r>
    </w:p>
    <w:p w14:paraId="638BD05D" w14:textId="7EE32F83" w:rsidR="00E0342C" w:rsidRPr="00B31A73" w:rsidRDefault="00E0342C" w:rsidP="00603FAD">
      <w:pPr>
        <w:pStyle w:val="ListParagraph"/>
        <w:numPr>
          <w:ilvl w:val="0"/>
          <w:numId w:val="2"/>
        </w:numPr>
        <w:rPr>
          <w:rFonts w:ascii="Times New Roman" w:hAnsi="Times New Roman" w:cs="Times New Roman"/>
          <w:sz w:val="24"/>
          <w:szCs w:val="24"/>
        </w:rPr>
      </w:pPr>
      <w:r w:rsidRPr="00B31A73">
        <w:rPr>
          <w:rFonts w:ascii="Times New Roman" w:hAnsi="Times New Roman" w:cs="Times New Roman"/>
          <w:sz w:val="24"/>
          <w:szCs w:val="24"/>
        </w:rPr>
        <w:t xml:space="preserve">ERS = </w:t>
      </w:r>
      <w:r w:rsidR="00F0738E">
        <w:rPr>
          <w:rFonts w:ascii="Times New Roman" w:hAnsi="Times New Roman" w:cs="Times New Roman"/>
          <w:sz w:val="24"/>
          <w:szCs w:val="24"/>
        </w:rPr>
        <w:t>E</w:t>
      </w:r>
      <w:r w:rsidRPr="00B31A73">
        <w:rPr>
          <w:rFonts w:ascii="Times New Roman" w:hAnsi="Times New Roman" w:cs="Times New Roman"/>
          <w:sz w:val="24"/>
          <w:szCs w:val="24"/>
        </w:rPr>
        <w:t>quity risk sentiment = CAPE – (1 / 10YrT) + 10</w:t>
      </w:r>
    </w:p>
    <w:p w14:paraId="05C5682A" w14:textId="3718D76D" w:rsidR="00E0342C" w:rsidRPr="00B31A73" w:rsidRDefault="00E0342C" w:rsidP="00603FAD">
      <w:pPr>
        <w:pStyle w:val="ListParagraph"/>
        <w:numPr>
          <w:ilvl w:val="0"/>
          <w:numId w:val="2"/>
        </w:numPr>
        <w:rPr>
          <w:rFonts w:ascii="Times New Roman" w:hAnsi="Times New Roman" w:cs="Times New Roman"/>
          <w:sz w:val="24"/>
          <w:szCs w:val="24"/>
        </w:rPr>
      </w:pPr>
      <w:r w:rsidRPr="00B31A73">
        <w:rPr>
          <w:rFonts w:ascii="Times New Roman" w:hAnsi="Times New Roman" w:cs="Times New Roman"/>
          <w:sz w:val="24"/>
          <w:szCs w:val="24"/>
        </w:rPr>
        <w:t>CAPE = standard CAPE metric using 10-year cycle</w:t>
      </w:r>
    </w:p>
    <w:p w14:paraId="0139C7B6" w14:textId="77777777" w:rsidR="00E0342C" w:rsidRPr="00B31A73" w:rsidRDefault="00E0342C" w:rsidP="00603FAD">
      <w:pPr>
        <w:pStyle w:val="ListParagraph"/>
        <w:numPr>
          <w:ilvl w:val="0"/>
          <w:numId w:val="2"/>
        </w:numPr>
        <w:rPr>
          <w:rFonts w:ascii="Times New Roman" w:hAnsi="Times New Roman" w:cs="Times New Roman"/>
          <w:sz w:val="24"/>
          <w:szCs w:val="24"/>
        </w:rPr>
      </w:pPr>
      <w:r w:rsidRPr="00B31A73">
        <w:rPr>
          <w:rFonts w:ascii="Times New Roman" w:hAnsi="Times New Roman" w:cs="Times New Roman"/>
          <w:sz w:val="24"/>
          <w:szCs w:val="24"/>
        </w:rPr>
        <w:t xml:space="preserve">10YrT = 10-year Treasury yield at beginning of period </w:t>
      </w:r>
    </w:p>
    <w:p w14:paraId="20AF4A4A" w14:textId="33253E08" w:rsidR="00E0342C" w:rsidRPr="00B31A73" w:rsidRDefault="00E0342C" w:rsidP="00815A39">
      <w:pPr>
        <w:spacing w:after="120"/>
      </w:pPr>
      <w:r w:rsidRPr="00B31A73">
        <w:t xml:space="preserve">The equity return predicted by this approach for the 20-year period starting </w:t>
      </w:r>
      <w:r w:rsidR="00A3098A">
        <w:t>October</w:t>
      </w:r>
      <w:r w:rsidRPr="00B31A73">
        <w:t>, 2018 is 5.</w:t>
      </w:r>
      <w:r w:rsidR="00A3098A">
        <w:t>5</w:t>
      </w:r>
      <w:r w:rsidRPr="00B31A73">
        <w:t xml:space="preserve">%.  The ERS metric is </w:t>
      </w:r>
      <w:r w:rsidR="00A3098A">
        <w:t>10.02</w:t>
      </w:r>
      <w:r w:rsidRPr="00B31A73">
        <w:t xml:space="preserve"> as of </w:t>
      </w:r>
      <w:r w:rsidR="00A3098A">
        <w:t>October</w:t>
      </w:r>
      <w:r w:rsidRPr="00B31A73">
        <w:t xml:space="preserve">, 2018.  </w:t>
      </w:r>
    </w:p>
    <w:p w14:paraId="3C08A817" w14:textId="37408F0A" w:rsidR="00E0342C" w:rsidRDefault="00E0342C" w:rsidP="00815A39">
      <w:pPr>
        <w:spacing w:after="120"/>
      </w:pPr>
      <w:r w:rsidRPr="00B31A73">
        <w:t xml:space="preserve">The regression coefficients </w:t>
      </w:r>
      <w:r w:rsidR="00B872AC">
        <w:t>in Table 5</w:t>
      </w:r>
      <w:r w:rsidRPr="00B31A73">
        <w:t xml:space="preserve"> summarize the results of excess equity return regressed against ERS at the beginning of the period for four different historical periods.  It is important to note that for each period, the sentiment metric is adjusted so that the average of the metric for the period rounds to zero.</w:t>
      </w:r>
    </w:p>
    <w:p w14:paraId="42BC56BD" w14:textId="559679A0" w:rsidR="00DC3609" w:rsidRDefault="00AA1FDB" w:rsidP="00815A39">
      <w:pPr>
        <w:spacing w:after="120"/>
      </w:pPr>
      <w:r>
        <w:t xml:space="preserve">It is interesting to note that the strongest relationships for the longer sets of data are with 20-25 year forecast periods, while the strongest relationship with the </w:t>
      </w:r>
      <w:r w:rsidR="00770D3B">
        <w:t>most recent data</w:t>
      </w:r>
      <w:r>
        <w:t xml:space="preserve"> is with 10-15 year forecast periods. </w:t>
      </w:r>
    </w:p>
    <w:p w14:paraId="0CD95E3E" w14:textId="77777777" w:rsidR="00E0342C" w:rsidRPr="00B31A73" w:rsidRDefault="00E0342C" w:rsidP="00815A39">
      <w:pPr>
        <w:spacing w:after="120"/>
        <w:rPr>
          <w:b/>
        </w:rPr>
      </w:pPr>
      <w:r w:rsidRPr="00B31A73">
        <w:rPr>
          <w:b/>
        </w:rPr>
        <w:t>Equity Risk Premium</w:t>
      </w:r>
    </w:p>
    <w:p w14:paraId="4AB559FB" w14:textId="5CDE1C2C" w:rsidR="00E0342C" w:rsidRPr="00B31A73" w:rsidRDefault="00E0342C" w:rsidP="00815A39">
      <w:pPr>
        <w:spacing w:after="120"/>
      </w:pPr>
      <w:r w:rsidRPr="00B31A73">
        <w:t xml:space="preserve">Any equity risk premium is naturally driven by the current sentiment in the market.  Positive sentiment which increases prices will reduce future returns and therefore is an indicator of a low equity risk premium.  Note that the regression model in the </w:t>
      </w:r>
      <w:r w:rsidR="00770D3B">
        <w:t>“</w:t>
      </w:r>
      <w:r w:rsidRPr="00B31A73">
        <w:t>Predicting Returns</w:t>
      </w:r>
      <w:r w:rsidR="00770D3B">
        <w:t>”</w:t>
      </w:r>
      <w:r w:rsidRPr="00B31A73">
        <w:t xml:space="preserve"> section above has the form of an equity risk premium </w:t>
      </w:r>
      <w:r w:rsidR="00770D3B">
        <w:t>relative to</w:t>
      </w:r>
      <w:r w:rsidRPr="00B31A73">
        <w:t xml:space="preserve"> 10-year Treasuries.  Thus, the parameters in the table above serve to estimate the ERP, which is dependent on the time period for the data used to develop it.  </w:t>
      </w:r>
    </w:p>
    <w:p w14:paraId="420C76B9" w14:textId="34B72802" w:rsidR="00E0342C" w:rsidRPr="00B31A73" w:rsidRDefault="00E0342C" w:rsidP="00815A39">
      <w:pPr>
        <w:spacing w:after="120"/>
      </w:pPr>
      <w:r w:rsidRPr="00B31A73">
        <w:t xml:space="preserve">Given the correlation between the ERS and subsequent excess equity returns over the 10-year Treasury, the ERS seems to provide a reasonable approach for estimating the ERP to be experienced in future periods.  The estimates do vary based on the period for the dataset used to estimate it and will also vary by time horizon.  </w:t>
      </w:r>
      <w:r w:rsidR="00D6100D">
        <w:t>Figure 4</w:t>
      </w:r>
      <w:r w:rsidRPr="00B31A73">
        <w:t xml:space="preserve"> below shows the history of the 20-year ERP, based on the ERS metric using the full dataset.  The shape of the chart is naturally an inverse of the shape of the chart for the ERS metric.  </w:t>
      </w:r>
    </w:p>
    <w:p w14:paraId="5FC72F6B" w14:textId="65B3A56D" w:rsidR="00A72A4F" w:rsidRDefault="00B872AC" w:rsidP="00815A39">
      <w:pPr>
        <w:spacing w:after="120"/>
      </w:pPr>
      <w:r>
        <w:lastRenderedPageBreak/>
        <w:t>Table 6</w:t>
      </w:r>
      <w:r w:rsidR="00E0342C" w:rsidRPr="00B31A73">
        <w:t xml:space="preserve"> shows the highest and lowest 10-year </w:t>
      </w:r>
      <w:r w:rsidR="00C723D2">
        <w:t xml:space="preserve">and 20-year </w:t>
      </w:r>
      <w:r w:rsidR="00E0342C" w:rsidRPr="00B31A73">
        <w:t>ERP</w:t>
      </w:r>
      <w:r w:rsidR="00C723D2">
        <w:t>s</w:t>
      </w:r>
      <w:r w:rsidR="00E0342C" w:rsidRPr="00B31A73">
        <w:t xml:space="preserve"> based on the full dataset along with the actual </w:t>
      </w:r>
      <w:r w:rsidR="00F0738E">
        <w:t>realized ERP</w:t>
      </w:r>
      <w:r w:rsidR="00C723D2">
        <w:t>s</w:t>
      </w:r>
      <w:r w:rsidR="00E0342C" w:rsidRPr="00B31A73">
        <w:t>.</w:t>
      </w:r>
      <w:r w:rsidR="00A72A4F">
        <w:t xml:space="preserve"> </w:t>
      </w:r>
      <w:r w:rsidR="00C249B3">
        <w:t xml:space="preserve"> </w:t>
      </w:r>
      <w:r w:rsidR="00E87AA9">
        <w:t>The label “realized ERP” is used in this table to refer to the actual excess equity return.</w:t>
      </w:r>
      <w:r w:rsidR="00A72A4F">
        <w:t xml:space="preserve"> </w:t>
      </w:r>
    </w:p>
    <w:p w14:paraId="142CB2ED" w14:textId="1D1611E7" w:rsidR="00E0342C" w:rsidRPr="00B31A73" w:rsidRDefault="00A3098A" w:rsidP="00815A39">
      <w:pPr>
        <w:spacing w:after="120"/>
      </w:pPr>
      <w:r>
        <w:t>In Table 5, n</w:t>
      </w:r>
      <w:r w:rsidR="00C723D2">
        <w:t>ote how the</w:t>
      </w:r>
      <w:r w:rsidR="00C723D2" w:rsidRPr="00B31A73">
        <w:t xml:space="preserve"> absolute value of the slope parameter </w:t>
      </w:r>
      <w:r w:rsidR="00C723D2">
        <w:t>decreases</w:t>
      </w:r>
      <w:r w:rsidR="00C723D2" w:rsidRPr="00B31A73">
        <w:t xml:space="preserve"> as the </w:t>
      </w:r>
      <w:r w:rsidR="00C723D2">
        <w:t>forecast period</w:t>
      </w:r>
      <w:r w:rsidR="00C723D2" w:rsidRPr="00B31A73">
        <w:t xml:space="preserve"> lengthens.  </w:t>
      </w:r>
      <w:r w:rsidR="00C723D2">
        <w:t>Thus</w:t>
      </w:r>
      <w:r w:rsidR="003A7902">
        <w:t>,</w:t>
      </w:r>
      <w:r w:rsidR="00E0342C" w:rsidRPr="00B31A73">
        <w:t xml:space="preserve"> the ERP will decrease as the time horizon is extended, when sentiment is positive</w:t>
      </w:r>
      <w:r w:rsidR="00C723D2">
        <w:t xml:space="preserve"> and the re</w:t>
      </w:r>
      <w:r w:rsidR="00C723D2" w:rsidRPr="00B31A73">
        <w:t xml:space="preserve">verse is true for negative sentiment.  </w:t>
      </w:r>
      <w:r w:rsidR="00E0342C" w:rsidRPr="00B31A73">
        <w:t xml:space="preserve">This indicates that sentiment </w:t>
      </w:r>
      <w:r w:rsidR="00C723D2">
        <w:t xml:space="preserve">eventually </w:t>
      </w:r>
      <w:r w:rsidR="00E0342C" w:rsidRPr="00B31A73">
        <w:t>rever</w:t>
      </w:r>
      <w:r w:rsidR="00C723D2">
        <w:t>ts</w:t>
      </w:r>
      <w:r w:rsidR="00E0342C" w:rsidRPr="00B31A73">
        <w:t xml:space="preserve"> to a mean</w:t>
      </w:r>
      <w:r w:rsidR="00C723D2">
        <w:t xml:space="preserve"> – the </w:t>
      </w:r>
      <w:r w:rsidR="00E0342C" w:rsidRPr="00B31A73">
        <w:t xml:space="preserve">effect of </w:t>
      </w:r>
      <w:r w:rsidR="00C723D2">
        <w:t xml:space="preserve">the current level of sentiment is </w:t>
      </w:r>
      <w:r w:rsidR="00E0342C" w:rsidRPr="00B31A73">
        <w:t xml:space="preserve">reduced on an annualized basis as the time horizon is extended.  </w:t>
      </w:r>
    </w:p>
    <w:p w14:paraId="47E9528B" w14:textId="1478E18F" w:rsidR="00E0342C" w:rsidRPr="00B31A73" w:rsidRDefault="00E0342C" w:rsidP="00815A39">
      <w:pPr>
        <w:spacing w:after="120"/>
      </w:pPr>
      <w:r w:rsidRPr="00B31A73">
        <w:t xml:space="preserve">In </w:t>
      </w:r>
      <w:r w:rsidR="00B872AC">
        <w:t>Table 7</w:t>
      </w:r>
      <w:r w:rsidRPr="00B31A73">
        <w:t>, the different datasets</w:t>
      </w:r>
      <w:r w:rsidR="00B872AC">
        <w:t xml:space="preserve"> are used</w:t>
      </w:r>
      <w:r w:rsidRPr="00B31A73">
        <w:t xml:space="preserve"> to estimate the ERP as of September, 2018.</w:t>
      </w:r>
    </w:p>
    <w:p w14:paraId="752ABF27" w14:textId="0E03DDA1" w:rsidR="00F0738E" w:rsidRDefault="00E0342C" w:rsidP="00815A39">
      <w:pPr>
        <w:spacing w:after="120"/>
      </w:pPr>
      <w:r w:rsidRPr="00B31A73">
        <w:t xml:space="preserve">Note that the 20-year ERP from the full data set </w:t>
      </w:r>
      <w:r w:rsidR="00F0738E">
        <w:t>(</w:t>
      </w:r>
      <w:r w:rsidRPr="00B31A73">
        <w:t>2.</w:t>
      </w:r>
      <w:r w:rsidR="00A3098A">
        <w:t>3</w:t>
      </w:r>
      <w:r w:rsidR="00FF5E04">
        <w:t>2</w:t>
      </w:r>
      <w:r w:rsidRPr="00B31A73">
        <w:t>%</w:t>
      </w:r>
      <w:r w:rsidR="00F0738E">
        <w:t>)</w:t>
      </w:r>
      <w:r w:rsidRPr="00B31A73">
        <w:t xml:space="preserve"> added to the 10-year Treasury level in </w:t>
      </w:r>
      <w:r w:rsidR="00A3098A">
        <w:t>October</w:t>
      </w:r>
      <w:r w:rsidRPr="00B31A73">
        <w:t xml:space="preserve">, 2018 </w:t>
      </w:r>
      <w:r w:rsidR="00F0738E">
        <w:t>(</w:t>
      </w:r>
      <w:r w:rsidRPr="00B31A73">
        <w:t>3.</w:t>
      </w:r>
      <w:r w:rsidR="00A3098A">
        <w:t>15</w:t>
      </w:r>
      <w:r w:rsidRPr="00B31A73">
        <w:t>%</w:t>
      </w:r>
      <w:r w:rsidR="00F0738E">
        <w:t>)</w:t>
      </w:r>
      <w:r w:rsidRPr="00B31A73">
        <w:t xml:space="preserve"> equals the expected return of 5.</w:t>
      </w:r>
      <w:r w:rsidR="00FF5E04">
        <w:t>5</w:t>
      </w:r>
      <w:r w:rsidRPr="00B31A73">
        <w:t xml:space="preserve">% shown above.  The ERS metric as of </w:t>
      </w:r>
      <w:r w:rsidR="00FF5E04">
        <w:t>October</w:t>
      </w:r>
      <w:r w:rsidRPr="00B31A73">
        <w:t xml:space="preserve">, 2018 is </w:t>
      </w:r>
      <w:r w:rsidR="00FF5E04">
        <w:t>10.02</w:t>
      </w:r>
      <w:r w:rsidRPr="00B31A73">
        <w:t xml:space="preserve"> using the full dataset and because it is positive, we would expect the ERPs to be below the historical averages of 4.</w:t>
      </w:r>
      <w:r w:rsidR="00FF5E04">
        <w:t>5</w:t>
      </w:r>
      <w:r w:rsidRPr="00B31A73">
        <w:t>% and 4.</w:t>
      </w:r>
      <w:r w:rsidR="00FF5E04">
        <w:t>3</w:t>
      </w:r>
      <w:r w:rsidRPr="00B31A73">
        <w:t xml:space="preserve">%, as it is.  The same is true for the ERP calculated from the more limited datasets.  </w:t>
      </w:r>
    </w:p>
    <w:p w14:paraId="1AAE35D2" w14:textId="455A28A7" w:rsidR="00E0342C" w:rsidRPr="00B31A73" w:rsidRDefault="00E0342C" w:rsidP="00815A39">
      <w:pPr>
        <w:spacing w:after="120"/>
      </w:pPr>
      <w:r w:rsidRPr="00B31A73">
        <w:t xml:space="preserve">Thus, once we adjust for interest rates to determine sentiment, we find that the current ERP is below average relative to past experience, though only slightly so based on the most recent experience period.  In other words, the ERS metric tells us that equities are somewhat “overvalued”, even given the current level of interest rates.   </w:t>
      </w:r>
    </w:p>
    <w:p w14:paraId="121B1783" w14:textId="51F802B6" w:rsidR="00A72A4F" w:rsidRDefault="00A72A4F" w:rsidP="00815A39">
      <w:pPr>
        <w:spacing w:after="120"/>
        <w:rPr>
          <w:b/>
        </w:rPr>
      </w:pPr>
      <w:r>
        <w:rPr>
          <w:b/>
        </w:rPr>
        <w:t>Historical Context</w:t>
      </w:r>
    </w:p>
    <w:p w14:paraId="2227D3EF" w14:textId="0A20A477" w:rsidR="00170484" w:rsidRPr="00A72A4F" w:rsidRDefault="00A72A4F" w:rsidP="00815A39">
      <w:pPr>
        <w:spacing w:after="120"/>
      </w:pPr>
      <w:r>
        <w:t xml:space="preserve">Of course, any investor in the past would not have had access to the full dataset to estimate the ERP.  Tables </w:t>
      </w:r>
      <w:r w:rsidR="00170484">
        <w:t>8</w:t>
      </w:r>
      <w:r>
        <w:t xml:space="preserve">a and </w:t>
      </w:r>
      <w:r w:rsidR="00170484">
        <w:t>8</w:t>
      </w:r>
      <w:r>
        <w:t>b show the 20-year ERP based on the ERS calculated using only data up to the beginning of the period.</w:t>
      </w:r>
      <w:r w:rsidR="00170484">
        <w:t xml:space="preserve">  The correlation of realized 20-year ERP</w:t>
      </w:r>
      <w:r w:rsidR="00E87AA9">
        <w:t xml:space="preserve"> (excess equity return)</w:t>
      </w:r>
      <w:r w:rsidR="00170484">
        <w:t xml:space="preserve"> with ex ante ERP’s using the expanding dataset through history is lowest using data through 01/1937 (-1</w:t>
      </w:r>
      <w:r w:rsidR="00FF5E04">
        <w:t>7</w:t>
      </w:r>
      <w:r w:rsidR="00170484">
        <w:t xml:space="preserve">%) with the following 20-year realized ERP.  The correlation of realized 20-year ERP with ex ante ERP’s using the expanding dataset is highest using data through 01/1963 (-92%) with the following 20-year realized ERP.   The correlation for the entire dataset </w:t>
      </w:r>
      <w:r w:rsidR="00731C47">
        <w:t xml:space="preserve">through 01/1999 </w:t>
      </w:r>
      <w:r w:rsidR="00170484">
        <w:t xml:space="preserve">is </w:t>
      </w:r>
      <w:r w:rsidR="00870BCE">
        <w:t>-</w:t>
      </w:r>
      <w:r w:rsidR="00170484">
        <w:t>7</w:t>
      </w:r>
      <w:r w:rsidR="00FF5E04">
        <w:t>7</w:t>
      </w:r>
      <w:r w:rsidR="00170484">
        <w:t>% as reported in Table 2.</w:t>
      </w:r>
    </w:p>
    <w:p w14:paraId="331315C8" w14:textId="3461B529" w:rsidR="00E0342C" w:rsidRPr="00B31A73" w:rsidRDefault="00E0342C" w:rsidP="00815A39">
      <w:pPr>
        <w:spacing w:after="120"/>
        <w:rPr>
          <w:b/>
        </w:rPr>
      </w:pPr>
      <w:r w:rsidRPr="00B31A73">
        <w:rPr>
          <w:b/>
        </w:rPr>
        <w:t>Equity Sentiment and Corporate Bond Sentiment</w:t>
      </w:r>
    </w:p>
    <w:p w14:paraId="7E376BB3" w14:textId="5A19D6CC" w:rsidR="00E0342C" w:rsidRPr="00B31A73" w:rsidRDefault="00E0342C" w:rsidP="00815A39">
      <w:pPr>
        <w:spacing w:after="120"/>
      </w:pPr>
      <w:r w:rsidRPr="00B31A73">
        <w:t xml:space="preserve">The idea that equity market sentiment is correlated with the spread on corporate bonds (itself a direct indicator of corporate bond market sentiment) is intuitive.  If investor’s attitudes and perceptions about the financial status of and prospects for corporations drive sentiment in both markets, then there </w:t>
      </w:r>
      <w:r w:rsidR="00870BCE">
        <w:t>c</w:t>
      </w:r>
      <w:r w:rsidRPr="00B31A73">
        <w:t>ould be a strong relationship.  The same sentiment metric shown for equity above can also be created for a fixed income asset class.  The corresponding metric - fixed income risk sentiment (FIRS) - is calculated like this:</w:t>
      </w:r>
    </w:p>
    <w:p w14:paraId="2F2BAE43" w14:textId="77777777" w:rsidR="00E0342C" w:rsidRPr="00B31A73" w:rsidRDefault="00E0342C" w:rsidP="00815A39">
      <w:pPr>
        <w:spacing w:after="120"/>
        <w:ind w:left="720"/>
      </w:pPr>
      <w:r w:rsidRPr="00B31A73">
        <w:t>FIRS = 1 / YTM – 1 / 10YrT</w:t>
      </w:r>
    </w:p>
    <w:p w14:paraId="39C8FA1C" w14:textId="27655E58" w:rsidR="00E0342C" w:rsidRPr="00B31A73" w:rsidRDefault="00B872AC" w:rsidP="00815A39">
      <w:pPr>
        <w:spacing w:after="120"/>
      </w:pPr>
      <w:r>
        <w:t xml:space="preserve">Table </w:t>
      </w:r>
      <w:r w:rsidR="00170484">
        <w:t>9</w:t>
      </w:r>
      <w:r w:rsidR="00E0342C" w:rsidRPr="00B31A73">
        <w:t xml:space="preserve"> presents the correlation of ERS with the Moody’s Baa FIRS for four different time periods as well as the correlation of the change in the two metrics.</w:t>
      </w:r>
    </w:p>
    <w:p w14:paraId="4F50C491" w14:textId="391F0F2B" w:rsidR="004B1B2F" w:rsidRPr="00B31A73" w:rsidRDefault="00E0342C" w:rsidP="00815A39">
      <w:pPr>
        <w:spacing w:after="120"/>
      </w:pPr>
      <w:r w:rsidRPr="00B31A73">
        <w:t xml:space="preserve">This provides another indicator of the power of </w:t>
      </w:r>
      <w:r w:rsidR="00870BCE">
        <w:t xml:space="preserve">separating the impact of </w:t>
      </w:r>
      <w:r w:rsidRPr="00B31A73">
        <w:t xml:space="preserve">sentiment </w:t>
      </w:r>
      <w:r w:rsidR="00870BCE">
        <w:t>and the interest rate</w:t>
      </w:r>
      <w:r w:rsidRPr="00B31A73">
        <w:t>.   The numbers in the table can be contrasted with the typical correlations between corporate bond and equity returns in a capital markets model, which are in the 20% - 40% range</w:t>
      </w:r>
      <w:r w:rsidRPr="00B31A73">
        <w:rPr>
          <w:rStyle w:val="EndnoteReference"/>
        </w:rPr>
        <w:endnoteReference w:id="3"/>
      </w:r>
      <w:r w:rsidRPr="00B31A73">
        <w:t>.</w:t>
      </w:r>
      <w:r w:rsidR="00A938F8" w:rsidRPr="00B31A73">
        <w:t xml:space="preserve">  </w:t>
      </w:r>
      <w:r w:rsidR="004B1B2F" w:rsidRPr="00B31A73">
        <w:t xml:space="preserve"> </w:t>
      </w:r>
      <w:r w:rsidR="003F022A">
        <w:t>Figure 5</w:t>
      </w:r>
      <w:r w:rsidR="004B1B2F" w:rsidRPr="00B31A73">
        <w:t xml:space="preserve"> compares the two metrics for the full data period.</w:t>
      </w:r>
    </w:p>
    <w:p w14:paraId="5429C436" w14:textId="7F541E25" w:rsidR="00A938F8" w:rsidRPr="00B31A73" w:rsidRDefault="00A938F8" w:rsidP="00815A39">
      <w:pPr>
        <w:spacing w:after="120"/>
      </w:pPr>
      <w:r w:rsidRPr="00B31A73">
        <w:lastRenderedPageBreak/>
        <w:t>It is interesting to note the significant disconnects during and after World War II and at the height of the internet bubble</w:t>
      </w:r>
      <w:r w:rsidR="00870BCE">
        <w:t xml:space="preserve"> – when equity sentiment was especially low and especially high</w:t>
      </w:r>
      <w:r w:rsidRPr="00B31A73">
        <w:t>.  It is also interesting to note the very close relationship since the financial crisis in 2008.</w:t>
      </w:r>
    </w:p>
    <w:p w14:paraId="0BA65C13" w14:textId="440D5450" w:rsidR="00A36341" w:rsidRPr="00B31A73" w:rsidRDefault="004B1B2F" w:rsidP="00815A39">
      <w:pPr>
        <w:spacing w:after="120"/>
        <w:rPr>
          <w:b/>
        </w:rPr>
      </w:pPr>
      <w:r w:rsidRPr="00B31A73">
        <w:rPr>
          <w:b/>
        </w:rPr>
        <w:t xml:space="preserve">Risk </w:t>
      </w:r>
      <w:r w:rsidR="00A36341" w:rsidRPr="00B31A73">
        <w:rPr>
          <w:b/>
        </w:rPr>
        <w:t>Sentiment</w:t>
      </w:r>
      <w:r w:rsidR="00B0051A">
        <w:rPr>
          <w:b/>
        </w:rPr>
        <w:t>, R</w:t>
      </w:r>
      <w:r w:rsidR="00A36341" w:rsidRPr="00B31A73">
        <w:rPr>
          <w:b/>
        </w:rPr>
        <w:t>isk Premium</w:t>
      </w:r>
      <w:r w:rsidR="00B0051A">
        <w:rPr>
          <w:b/>
        </w:rPr>
        <w:t xml:space="preserve"> or the Fed Model</w:t>
      </w:r>
      <w:r w:rsidR="00A36341" w:rsidRPr="00B31A73">
        <w:rPr>
          <w:b/>
        </w:rPr>
        <w:t xml:space="preserve"> for Forecasting</w:t>
      </w:r>
      <w:r w:rsidR="004029CD" w:rsidRPr="00B31A73">
        <w:rPr>
          <w:b/>
        </w:rPr>
        <w:t>?</w:t>
      </w:r>
    </w:p>
    <w:p w14:paraId="0D3C8A02" w14:textId="36273372" w:rsidR="00552AC6" w:rsidRDefault="00A36341" w:rsidP="00815A39">
      <w:pPr>
        <w:spacing w:after="120"/>
      </w:pPr>
      <w:r w:rsidRPr="00B31A73">
        <w:t xml:space="preserve">The question naturally arises as to whether a risk premium metric </w:t>
      </w:r>
      <w:r w:rsidR="00FF5E04">
        <w:t xml:space="preserve">does not provide </w:t>
      </w:r>
      <w:r w:rsidRPr="00B31A73">
        <w:t xml:space="preserve">predictive power </w:t>
      </w:r>
      <w:r w:rsidR="00FF5E04">
        <w:t>similar to the</w:t>
      </w:r>
      <w:r w:rsidRPr="00B31A73">
        <w:t xml:space="preserve"> </w:t>
      </w:r>
      <w:r w:rsidR="00B0051A">
        <w:t xml:space="preserve">risk </w:t>
      </w:r>
      <w:r w:rsidRPr="00B31A73">
        <w:t>senti</w:t>
      </w:r>
      <w:r w:rsidR="00D358F0" w:rsidRPr="00B31A73">
        <w:t xml:space="preserve">ment metric.  </w:t>
      </w:r>
      <w:r w:rsidR="00FF5E04">
        <w:t xml:space="preserve">The metric </w:t>
      </w:r>
      <w:r w:rsidRPr="00B31A73">
        <w:t>1/CAPE – 10YrT (essentially the current yield premium</w:t>
      </w:r>
      <w:r w:rsidR="00D358F0" w:rsidRPr="00B31A73">
        <w:t xml:space="preserve">) </w:t>
      </w:r>
      <w:r w:rsidR="00FF5E04">
        <w:t>has only a moderately</w:t>
      </w:r>
      <w:r w:rsidR="00D358F0" w:rsidRPr="00B31A73">
        <w:t xml:space="preserve"> strong relationship with future </w:t>
      </w:r>
      <w:r w:rsidR="004029CD" w:rsidRPr="00B31A73">
        <w:t xml:space="preserve">equity </w:t>
      </w:r>
      <w:r w:rsidR="00D358F0" w:rsidRPr="00B31A73">
        <w:t>returns</w:t>
      </w:r>
      <w:r w:rsidR="00FF5E04">
        <w:t>.</w:t>
      </w:r>
      <w:r w:rsidR="00D358F0" w:rsidRPr="00B31A73">
        <w:t xml:space="preserve">  </w:t>
      </w:r>
      <w:r w:rsidR="00552AC6" w:rsidRPr="00B31A73">
        <w:t xml:space="preserve">The same is true of the relationship of 1/CAPE – 10YrT with corporate bond spreads – a strong relationship does not exist for any of the periods examined in this </w:t>
      </w:r>
      <w:r w:rsidR="008740E0">
        <w:t>article</w:t>
      </w:r>
      <w:r w:rsidR="00552AC6" w:rsidRPr="00B31A73">
        <w:t>.</w:t>
      </w:r>
    </w:p>
    <w:p w14:paraId="328F2C5F" w14:textId="45661DF9" w:rsidR="00B0051A" w:rsidRPr="00B0051A" w:rsidRDefault="00B0051A" w:rsidP="00815A39">
      <w:pPr>
        <w:spacing w:after="120"/>
      </w:pPr>
      <w:r w:rsidRPr="00B0051A">
        <w:t xml:space="preserve">Similarly, as has been often noted, the Fed model – </w:t>
      </w:r>
      <w:r>
        <w:t xml:space="preserve">the </w:t>
      </w:r>
      <w:r w:rsidRPr="00B0051A">
        <w:t>equity earnings yield divided by the 10-year Treasury rate – has not consistently lined up with future equity returns.</w:t>
      </w:r>
      <w:r w:rsidR="00870BCE">
        <w:t xml:space="preserve">  Despite the fact that the same two fundamental measurements are used in a similar way, the correlation with future returns is much lower.</w:t>
      </w:r>
    </w:p>
    <w:p w14:paraId="008CBC54" w14:textId="26665496" w:rsidR="00963F3F" w:rsidRPr="00B31A73" w:rsidRDefault="00963F3F" w:rsidP="00815A39">
      <w:pPr>
        <w:spacing w:after="120"/>
      </w:pPr>
      <w:r w:rsidRPr="00B31A73">
        <w:t>Why does a price-type metric provide better information about future returns than a risk premium type metric</w:t>
      </w:r>
      <w:r w:rsidR="00870BCE">
        <w:t xml:space="preserve"> or the Fed Model</w:t>
      </w:r>
      <w:r w:rsidRPr="00B31A73">
        <w:t xml:space="preserve">?  </w:t>
      </w:r>
      <w:r w:rsidR="00552AC6" w:rsidRPr="00B31A73">
        <w:t>The</w:t>
      </w:r>
      <w:r w:rsidRPr="00B31A73">
        <w:t xml:space="preserve"> </w:t>
      </w:r>
      <w:r w:rsidR="00EF0A38" w:rsidRPr="00B31A73">
        <w:t xml:space="preserve">simple </w:t>
      </w:r>
      <w:r w:rsidRPr="00B31A73">
        <w:t xml:space="preserve">answer is intuitive:  Changes in price translate directly to changes in return, while changes in </w:t>
      </w:r>
      <w:r w:rsidR="00870BCE">
        <w:t>the other metrics do not.  We see this</w:t>
      </w:r>
      <w:r w:rsidR="00EF0A38" w:rsidRPr="00B31A73">
        <w:t xml:space="preserve"> in the basic </w:t>
      </w:r>
      <w:r w:rsidR="00927964">
        <w:t>model</w:t>
      </w:r>
      <w:r w:rsidR="00EF0A38" w:rsidRPr="00B31A73">
        <w:t xml:space="preserve"> for returns:</w:t>
      </w:r>
      <w:r w:rsidRPr="00B31A73">
        <w:t xml:space="preserve"> </w:t>
      </w:r>
    </w:p>
    <w:p w14:paraId="376EC81A" w14:textId="0671E0D4" w:rsidR="00963F3F" w:rsidRPr="00B31A73" w:rsidRDefault="00963F3F" w:rsidP="00815A39">
      <w:pPr>
        <w:spacing w:after="120"/>
        <w:ind w:left="720"/>
      </w:pPr>
      <w:r w:rsidRPr="00B31A73">
        <w:t xml:space="preserve">R = Y + G + ∆P </w:t>
      </w:r>
    </w:p>
    <w:p w14:paraId="3F92E7FF" w14:textId="12B7B295" w:rsidR="00EF0A38" w:rsidRPr="00B31A73" w:rsidRDefault="00EF0A38" w:rsidP="00815A39">
      <w:pPr>
        <w:spacing w:after="120"/>
      </w:pPr>
      <w:r w:rsidRPr="00B31A73">
        <w:t xml:space="preserve">A more sophisticated answer is that </w:t>
      </w:r>
      <w:r w:rsidR="00927964">
        <w:t>a</w:t>
      </w:r>
      <w:r w:rsidRPr="00B31A73">
        <w:t xml:space="preserve"> price-type metric reflects the duration of equities and the risk-free rate.  </w:t>
      </w:r>
      <w:r w:rsidR="00870BCE">
        <w:t>T</w:t>
      </w:r>
      <w:r w:rsidRPr="00B31A73">
        <w:t>he inverse of</w:t>
      </w:r>
      <w:r w:rsidR="00870BCE">
        <w:t xml:space="preserve"> a</w:t>
      </w:r>
      <w:r w:rsidRPr="00B31A73">
        <w:t xml:space="preserve"> yield is more sensitive</w:t>
      </w:r>
      <w:r w:rsidR="00870BCE">
        <w:t xml:space="preserve"> to changes</w:t>
      </w:r>
      <w:r w:rsidRPr="00B31A73">
        <w:t xml:space="preserve"> when equity yields are low or the risk-free rate is low.  This is consistent with the idea that both equity and bond prices have duration.  </w:t>
      </w:r>
    </w:p>
    <w:p w14:paraId="7A38A916" w14:textId="747840EF" w:rsidR="00870BCE" w:rsidRDefault="00EF0A38" w:rsidP="00815A39">
      <w:pPr>
        <w:spacing w:after="120"/>
      </w:pPr>
      <w:r w:rsidRPr="00B31A73">
        <w:t xml:space="preserve">The risk sentiment metric is not a perfect reflection of the duration in equity or 10-year Treasuries.  Given equities </w:t>
      </w:r>
      <w:r w:rsidR="00870BCE">
        <w:t>should</w:t>
      </w:r>
      <w:r w:rsidRPr="00B31A73">
        <w:t xml:space="preserve"> have more duration than the 10-year Treasury under most conditions, it may be possible to improve the risk sentiment metric by adjusting one of the terms.  Indeed, adjusting the denominator of the second term by multiplying with a factor of 1.5</w:t>
      </w:r>
      <w:r w:rsidR="00870BCE">
        <w:t xml:space="preserve"> </w:t>
      </w:r>
      <w:r w:rsidR="00927964">
        <w:t>as shown below</w:t>
      </w:r>
    </w:p>
    <w:p w14:paraId="3A9B1184" w14:textId="72A74590" w:rsidR="00870BCE" w:rsidRPr="00B31A73" w:rsidRDefault="00870BCE" w:rsidP="00815A39">
      <w:pPr>
        <w:spacing w:after="120"/>
        <w:ind w:left="720"/>
      </w:pPr>
      <w:proofErr w:type="spellStart"/>
      <w:r>
        <w:t>ERS</w:t>
      </w:r>
      <w:r w:rsidRPr="00870BCE">
        <w:rPr>
          <w:vertAlign w:val="subscript"/>
        </w:rPr>
        <w:t>adj</w:t>
      </w:r>
      <w:proofErr w:type="spellEnd"/>
      <w:r w:rsidRPr="00B31A73">
        <w:t xml:space="preserve"> = </w:t>
      </w:r>
      <w:r>
        <w:t>CAPE</w:t>
      </w:r>
      <w:r w:rsidRPr="00B31A73">
        <w:t xml:space="preserve"> – 1 / </w:t>
      </w:r>
      <w:r>
        <w:t xml:space="preserve">(1.5 x </w:t>
      </w:r>
      <w:r w:rsidRPr="00B31A73">
        <w:t>10YrT</w:t>
      </w:r>
      <w:r>
        <w:t>)</w:t>
      </w:r>
    </w:p>
    <w:p w14:paraId="7B4625AF" w14:textId="58E3E203" w:rsidR="00EF0A38" w:rsidRPr="00B31A73" w:rsidRDefault="00EF0A38" w:rsidP="00815A39">
      <w:pPr>
        <w:spacing w:after="120"/>
      </w:pPr>
      <w:r w:rsidRPr="00B31A73">
        <w:t xml:space="preserve">improves the correlation of the metric with future returns and future excess returns.  </w:t>
      </w:r>
      <w:r w:rsidR="00EE139E">
        <w:t xml:space="preserve">This is </w:t>
      </w:r>
      <w:r w:rsidRPr="00B31A73">
        <w:t>expect</w:t>
      </w:r>
      <w:r w:rsidR="00EE139E">
        <w:t>ed</w:t>
      </w:r>
      <w:r w:rsidRPr="00B31A73">
        <w:t xml:space="preserve"> since 1/</w:t>
      </w:r>
      <w:proofErr w:type="spellStart"/>
      <w:r w:rsidRPr="00B31A73">
        <w:t>r</w:t>
      </w:r>
      <w:r w:rsidRPr="00B31A73">
        <w:rPr>
          <w:vertAlign w:val="subscript"/>
        </w:rPr>
        <w:t>rf</w:t>
      </w:r>
      <w:proofErr w:type="spellEnd"/>
      <w:r w:rsidRPr="00B31A73">
        <w:t xml:space="preserve"> overrepresents the duration in the 10-year Treasury</w:t>
      </w:r>
      <w:r w:rsidR="00C95362" w:rsidRPr="00B31A73">
        <w:t xml:space="preserve"> and multiplying by 1.5 in the denominator corrects </w:t>
      </w:r>
      <w:r w:rsidR="00CE2FBE">
        <w:t xml:space="preserve">directionally </w:t>
      </w:r>
      <w:r w:rsidR="00C95362" w:rsidRPr="00B31A73">
        <w:t>for this</w:t>
      </w:r>
      <w:r w:rsidRPr="00B31A73">
        <w:t>.  However, the improvements in the performance of the metric are marginal and the simplicity of the basic risk sentiment metric is</w:t>
      </w:r>
      <w:r w:rsidR="00927964">
        <w:t xml:space="preserve"> probably preferable</w:t>
      </w:r>
      <w:r w:rsidRPr="00B31A73">
        <w:t>.</w:t>
      </w:r>
      <w:r w:rsidR="00EE139E">
        <w:t xml:space="preserve">  However, there may</w:t>
      </w:r>
      <w:r w:rsidR="000B3589">
        <w:t xml:space="preserve"> </w:t>
      </w:r>
      <w:r w:rsidR="00EE139E">
        <w:t>be other transformations that are useful</w:t>
      </w:r>
      <w:r w:rsidR="000B3589">
        <w:t xml:space="preserve"> and even necessary if rates drop to very low or negative levels</w:t>
      </w:r>
      <w:r w:rsidR="00EE139E">
        <w:t>.  Th</w:t>
      </w:r>
      <w:r w:rsidR="000B3589">
        <w:t>is aspect of the ERS metric is</w:t>
      </w:r>
      <w:r w:rsidR="00EE139E">
        <w:t xml:space="preserve"> not explored in this article.</w:t>
      </w:r>
    </w:p>
    <w:p w14:paraId="77DA6787" w14:textId="10C29012" w:rsidR="00AA0DD6" w:rsidRDefault="00AA0DD6">
      <w:pPr>
        <w:spacing w:after="160" w:line="259" w:lineRule="auto"/>
        <w:rPr>
          <w:b/>
          <w:u w:val="single"/>
        </w:rPr>
      </w:pPr>
      <w:r>
        <w:rPr>
          <w:b/>
          <w:u w:val="single"/>
        </w:rPr>
        <w:br w:type="page"/>
      </w:r>
    </w:p>
    <w:p w14:paraId="7D6F554F" w14:textId="7FF868D3" w:rsidR="00D93EE5" w:rsidRPr="00B31A73" w:rsidRDefault="00C3045C" w:rsidP="00815A39">
      <w:pPr>
        <w:spacing w:after="120"/>
        <w:rPr>
          <w:b/>
          <w:u w:val="single"/>
        </w:rPr>
      </w:pPr>
      <w:r w:rsidRPr="00B31A73">
        <w:rPr>
          <w:b/>
          <w:u w:val="single"/>
        </w:rPr>
        <w:lastRenderedPageBreak/>
        <w:t>CAPITAL MARKETS MODELING</w:t>
      </w:r>
    </w:p>
    <w:p w14:paraId="2DB0DB64" w14:textId="0275900A" w:rsidR="000433BD" w:rsidRPr="000433BD" w:rsidRDefault="000433BD" w:rsidP="00815A39">
      <w:pPr>
        <w:spacing w:after="120"/>
        <w:rPr>
          <w:b/>
        </w:rPr>
      </w:pPr>
      <w:r w:rsidRPr="000433BD">
        <w:rPr>
          <w:b/>
        </w:rPr>
        <w:t>Potential Improvements in Modeling</w:t>
      </w:r>
    </w:p>
    <w:p w14:paraId="706515B8" w14:textId="110F0651" w:rsidR="00EF0A38" w:rsidRPr="00B31A73" w:rsidRDefault="00D93EE5" w:rsidP="00815A39">
      <w:pPr>
        <w:spacing w:after="120"/>
      </w:pPr>
      <w:r w:rsidRPr="00B31A73">
        <w:t>Unpacking the discount rate into interest rates and sentiment</w:t>
      </w:r>
      <w:r w:rsidR="00A938F8" w:rsidRPr="00B31A73">
        <w:t xml:space="preserve"> may create</w:t>
      </w:r>
      <w:r w:rsidR="0047100B" w:rsidRPr="00B31A73">
        <w:t xml:space="preserve"> potential for improvements in capital markets modeling</w:t>
      </w:r>
      <w:r w:rsidR="00A938F8" w:rsidRPr="00B31A73">
        <w:t xml:space="preserve">.  </w:t>
      </w:r>
      <w:r w:rsidR="00A02C70" w:rsidRPr="00B31A73">
        <w:t xml:space="preserve">The potential improvements </w:t>
      </w:r>
      <w:r w:rsidR="004029CD" w:rsidRPr="00B31A73">
        <w:t xml:space="preserve">are not explored in detail in this </w:t>
      </w:r>
      <w:r w:rsidR="008740E0">
        <w:t>article</w:t>
      </w:r>
      <w:r w:rsidR="004029CD" w:rsidRPr="00B31A73">
        <w:t>,</w:t>
      </w:r>
      <w:r w:rsidR="00A02C70" w:rsidRPr="00B31A73">
        <w:t xml:space="preserve"> but conceptual </w:t>
      </w:r>
      <w:r w:rsidR="004029CD" w:rsidRPr="00B31A73">
        <w:t>justification</w:t>
      </w:r>
      <w:r w:rsidR="00A02C70" w:rsidRPr="00B31A73">
        <w:t xml:space="preserve"> for exploring this potential further is provided.  </w:t>
      </w:r>
    </w:p>
    <w:p w14:paraId="651DDF1E" w14:textId="367EBE0C" w:rsidR="003558DA" w:rsidRPr="00B31A73" w:rsidRDefault="00EF0A38" w:rsidP="00815A39">
      <w:pPr>
        <w:spacing w:after="120"/>
      </w:pPr>
      <w:r w:rsidRPr="00B31A73">
        <w:t>First it should be noted that the lessons from Shiller’s work</w:t>
      </w:r>
      <w:r w:rsidR="00927964">
        <w:t xml:space="preserve"> (and others who have demonstrated the strong negative relationship between future returns and current prices)</w:t>
      </w:r>
      <w:r w:rsidRPr="00B31A73">
        <w:t xml:space="preserve"> have not yet been incorporated into most capital markets modeling in a thorough way.  While many models use expected returns for equities based on current prices, they do not typically adjust return expectations during the forecast period.  For example, if equity returns in a particular scenario are 20% for the first three years, most models do not adjust the return expectation for the remainder of the forecast period based on the higher prices that the high returns have created.  </w:t>
      </w:r>
    </w:p>
    <w:p w14:paraId="7F99E02A" w14:textId="4B8011C3" w:rsidR="00EF0A38" w:rsidRPr="00B31A73" w:rsidRDefault="003558DA" w:rsidP="00815A39">
      <w:pPr>
        <w:spacing w:after="120"/>
      </w:pPr>
      <w:r w:rsidRPr="00B31A73">
        <w:t xml:space="preserve">Note that </w:t>
      </w:r>
      <w:r w:rsidR="00EF0A38" w:rsidRPr="00B31A73">
        <w:t xml:space="preserve">market momentum may win out over any reversionary tendency in prices for many years and modeling the change from a momentum-driven market to a price-reverting market </w:t>
      </w:r>
      <w:r w:rsidR="000B3589">
        <w:t>will be a</w:t>
      </w:r>
      <w:r w:rsidRPr="00B31A73">
        <w:t xml:space="preserve"> challenge</w:t>
      </w:r>
      <w:r w:rsidR="00EF0A38" w:rsidRPr="00B31A73">
        <w:t>.  Still, we know enough about how powerful the price reversion force is that it makes sense to build</w:t>
      </w:r>
      <w:r w:rsidRPr="00B31A73">
        <w:t xml:space="preserve"> this</w:t>
      </w:r>
      <w:r w:rsidR="00EF0A38" w:rsidRPr="00B31A73">
        <w:t xml:space="preserve"> into the fabric capital market model</w:t>
      </w:r>
      <w:r w:rsidR="000B3589">
        <w:t>s</w:t>
      </w:r>
      <w:r w:rsidR="00EF0A38" w:rsidRPr="00B31A73">
        <w:t xml:space="preserve"> i</w:t>
      </w:r>
      <w:r w:rsidR="000B3589">
        <w:t>n</w:t>
      </w:r>
      <w:r w:rsidR="00EF0A38" w:rsidRPr="00B31A73">
        <w:t xml:space="preserve"> some way.</w:t>
      </w:r>
      <w:r w:rsidRPr="00B31A73">
        <w:t xml:space="preserve">  A regime-switching model that alternates between momentum regimes and reversion regimes may be useful.</w:t>
      </w:r>
    </w:p>
    <w:p w14:paraId="160AB582" w14:textId="40E88692" w:rsidR="00A938F8" w:rsidRPr="00B31A73" w:rsidRDefault="00975585" w:rsidP="00815A39">
      <w:pPr>
        <w:spacing w:after="120"/>
      </w:pPr>
      <w:r w:rsidRPr="00B31A73">
        <w:t xml:space="preserve">In short, the potential improvement </w:t>
      </w:r>
      <w:r w:rsidR="000B3589">
        <w:t xml:space="preserve">would </w:t>
      </w:r>
      <w:r w:rsidRPr="00B31A73">
        <w:t>come from a model based on price changes rather than returns.  Returns would be derived from income, growth and</w:t>
      </w:r>
      <w:r w:rsidR="000433BD">
        <w:t xml:space="preserve">, most importantly, </w:t>
      </w:r>
      <w:r w:rsidRPr="00B31A73">
        <w:t xml:space="preserve">changes in price.   </w:t>
      </w:r>
      <w:r w:rsidR="00EF0A38" w:rsidRPr="00B31A73">
        <w:t>In addition to the potential improvement described above, t</w:t>
      </w:r>
      <w:r w:rsidR="00A938F8" w:rsidRPr="00B31A73">
        <w:t>here are a nu</w:t>
      </w:r>
      <w:r w:rsidR="00EF0A38" w:rsidRPr="00B31A73">
        <w:t xml:space="preserve">mber of attractive features of </w:t>
      </w:r>
      <w:r w:rsidRPr="00B31A73">
        <w:t>modeling the impact of</w:t>
      </w:r>
      <w:r w:rsidR="00EF0A38" w:rsidRPr="00B31A73">
        <w:t xml:space="preserve"> market sentiment </w:t>
      </w:r>
      <w:r w:rsidRPr="00B31A73">
        <w:t>and interest rates separately</w:t>
      </w:r>
      <w:r w:rsidR="00EF0A38" w:rsidRPr="00B31A73">
        <w:t>.</w:t>
      </w:r>
    </w:p>
    <w:p w14:paraId="7CEF46FC" w14:textId="5FF480B7" w:rsidR="00A938F8" w:rsidRPr="00B31A73" w:rsidRDefault="00A938F8" w:rsidP="00A938F8">
      <w:pPr>
        <w:pStyle w:val="ListParagraph"/>
        <w:numPr>
          <w:ilvl w:val="0"/>
          <w:numId w:val="5"/>
        </w:numPr>
        <w:rPr>
          <w:rFonts w:ascii="Times New Roman" w:hAnsi="Times New Roman" w:cs="Times New Roman"/>
          <w:sz w:val="24"/>
          <w:szCs w:val="24"/>
        </w:rPr>
      </w:pPr>
      <w:r w:rsidRPr="00B31A73">
        <w:rPr>
          <w:rFonts w:ascii="Times New Roman" w:hAnsi="Times New Roman" w:cs="Times New Roman"/>
          <w:sz w:val="24"/>
          <w:szCs w:val="24"/>
        </w:rPr>
        <w:t xml:space="preserve">The return for each key asset class can be modeled using the same structure – income &amp; growth, discounted with interest rates and risk premium.  The risk premium is </w:t>
      </w:r>
      <w:r w:rsidR="004029CD" w:rsidRPr="00B31A73">
        <w:rPr>
          <w:rFonts w:ascii="Times New Roman" w:hAnsi="Times New Roman" w:cs="Times New Roman"/>
          <w:sz w:val="24"/>
          <w:szCs w:val="24"/>
        </w:rPr>
        <w:t>driven by</w:t>
      </w:r>
      <w:r w:rsidRPr="00B31A73">
        <w:rPr>
          <w:rFonts w:ascii="Times New Roman" w:hAnsi="Times New Roman" w:cs="Times New Roman"/>
          <w:sz w:val="24"/>
          <w:szCs w:val="24"/>
        </w:rPr>
        <w:t xml:space="preserve"> market </w:t>
      </w:r>
      <w:r w:rsidR="004029CD" w:rsidRPr="00B31A73">
        <w:rPr>
          <w:rFonts w:ascii="Times New Roman" w:hAnsi="Times New Roman" w:cs="Times New Roman"/>
          <w:sz w:val="24"/>
          <w:szCs w:val="24"/>
        </w:rPr>
        <w:t xml:space="preserve">risk </w:t>
      </w:r>
      <w:r w:rsidRPr="00B31A73">
        <w:rPr>
          <w:rFonts w:ascii="Times New Roman" w:hAnsi="Times New Roman" w:cs="Times New Roman"/>
          <w:sz w:val="24"/>
          <w:szCs w:val="24"/>
        </w:rPr>
        <w:t>sentiment</w:t>
      </w:r>
      <w:r w:rsidR="00927964">
        <w:rPr>
          <w:rFonts w:ascii="Times New Roman" w:hAnsi="Times New Roman" w:cs="Times New Roman"/>
          <w:sz w:val="24"/>
          <w:szCs w:val="24"/>
        </w:rPr>
        <w:t xml:space="preserve"> and risk sentiment would need to be modeled.</w:t>
      </w:r>
    </w:p>
    <w:p w14:paraId="7BB794CD" w14:textId="2A79DDB3" w:rsidR="00A938F8" w:rsidRPr="00B31A73" w:rsidRDefault="00A938F8" w:rsidP="00A938F8">
      <w:pPr>
        <w:pStyle w:val="ListParagraph"/>
        <w:numPr>
          <w:ilvl w:val="0"/>
          <w:numId w:val="5"/>
        </w:numPr>
        <w:rPr>
          <w:rFonts w:ascii="Times New Roman" w:hAnsi="Times New Roman" w:cs="Times New Roman"/>
          <w:sz w:val="24"/>
          <w:szCs w:val="24"/>
        </w:rPr>
      </w:pPr>
      <w:r w:rsidRPr="00B31A73">
        <w:rPr>
          <w:rFonts w:ascii="Times New Roman" w:hAnsi="Times New Roman" w:cs="Times New Roman"/>
          <w:sz w:val="24"/>
          <w:szCs w:val="24"/>
        </w:rPr>
        <w:t xml:space="preserve">The impact of interest rates on prices would be a fundamental driver of returns for all asset classes, whereas typical capital markets model </w:t>
      </w:r>
      <w:r w:rsidR="00C3045C" w:rsidRPr="00B31A73">
        <w:rPr>
          <w:rFonts w:ascii="Times New Roman" w:hAnsi="Times New Roman" w:cs="Times New Roman"/>
          <w:sz w:val="24"/>
          <w:szCs w:val="24"/>
        </w:rPr>
        <w:t xml:space="preserve">today </w:t>
      </w:r>
      <w:r w:rsidRPr="00B31A73">
        <w:rPr>
          <w:rFonts w:ascii="Times New Roman" w:hAnsi="Times New Roman" w:cs="Times New Roman"/>
          <w:sz w:val="24"/>
          <w:szCs w:val="24"/>
        </w:rPr>
        <w:t>only uses interest rates as a driver of fixed income returns.  This fundamental principle of finance – that</w:t>
      </w:r>
      <w:r w:rsidR="000B3589">
        <w:rPr>
          <w:rFonts w:ascii="Times New Roman" w:hAnsi="Times New Roman" w:cs="Times New Roman"/>
          <w:sz w:val="24"/>
          <w:szCs w:val="24"/>
        </w:rPr>
        <w:t>, all else being unchanged,</w:t>
      </w:r>
      <w:r w:rsidRPr="00B31A73">
        <w:rPr>
          <w:rFonts w:ascii="Times New Roman" w:hAnsi="Times New Roman" w:cs="Times New Roman"/>
          <w:sz w:val="24"/>
          <w:szCs w:val="24"/>
        </w:rPr>
        <w:t xml:space="preserve"> prices rise when interest rates fall – would no longer be </w:t>
      </w:r>
      <w:r w:rsidR="00A02C70" w:rsidRPr="00B31A73">
        <w:rPr>
          <w:rFonts w:ascii="Times New Roman" w:hAnsi="Times New Roman" w:cs="Times New Roman"/>
          <w:sz w:val="24"/>
          <w:szCs w:val="24"/>
        </w:rPr>
        <w:t>ignored</w:t>
      </w:r>
      <w:r w:rsidRPr="00B31A73">
        <w:rPr>
          <w:rFonts w:ascii="Times New Roman" w:hAnsi="Times New Roman" w:cs="Times New Roman"/>
          <w:sz w:val="24"/>
          <w:szCs w:val="24"/>
        </w:rPr>
        <w:t xml:space="preserve"> for equities</w:t>
      </w:r>
      <w:r w:rsidR="004029CD" w:rsidRPr="00B31A73">
        <w:rPr>
          <w:rFonts w:ascii="Times New Roman" w:hAnsi="Times New Roman" w:cs="Times New Roman"/>
          <w:sz w:val="24"/>
          <w:szCs w:val="24"/>
        </w:rPr>
        <w:t>,</w:t>
      </w:r>
      <w:r w:rsidRPr="00B31A73">
        <w:rPr>
          <w:rFonts w:ascii="Times New Roman" w:hAnsi="Times New Roman" w:cs="Times New Roman"/>
          <w:sz w:val="24"/>
          <w:szCs w:val="24"/>
        </w:rPr>
        <w:t xml:space="preserve"> real estate</w:t>
      </w:r>
      <w:r w:rsidR="004029CD" w:rsidRPr="00B31A73">
        <w:rPr>
          <w:rFonts w:ascii="Times New Roman" w:hAnsi="Times New Roman" w:cs="Times New Roman"/>
          <w:sz w:val="24"/>
          <w:szCs w:val="24"/>
        </w:rPr>
        <w:t xml:space="preserve"> and related asset classes</w:t>
      </w:r>
      <w:r w:rsidRPr="00B31A73">
        <w:rPr>
          <w:rFonts w:ascii="Times New Roman" w:hAnsi="Times New Roman" w:cs="Times New Roman"/>
          <w:sz w:val="24"/>
          <w:szCs w:val="24"/>
        </w:rPr>
        <w:t>.</w:t>
      </w:r>
      <w:r w:rsidR="003558DA" w:rsidRPr="00B31A73">
        <w:rPr>
          <w:rFonts w:ascii="Times New Roman" w:hAnsi="Times New Roman" w:cs="Times New Roman"/>
          <w:sz w:val="24"/>
          <w:szCs w:val="24"/>
        </w:rPr>
        <w:t xml:space="preserve">  </w:t>
      </w:r>
      <w:r w:rsidR="000A4C17">
        <w:rPr>
          <w:rFonts w:ascii="Times New Roman" w:hAnsi="Times New Roman" w:cs="Times New Roman"/>
          <w:sz w:val="24"/>
          <w:szCs w:val="24"/>
        </w:rPr>
        <w:t>The correlation between</w:t>
      </w:r>
      <w:r w:rsidR="003558DA" w:rsidRPr="00B31A73">
        <w:rPr>
          <w:rFonts w:ascii="Times New Roman" w:hAnsi="Times New Roman" w:cs="Times New Roman"/>
          <w:sz w:val="24"/>
          <w:szCs w:val="24"/>
        </w:rPr>
        <w:t xml:space="preserve"> interest rates and </w:t>
      </w:r>
      <w:r w:rsidR="000A4C17">
        <w:rPr>
          <w:rFonts w:ascii="Times New Roman" w:hAnsi="Times New Roman" w:cs="Times New Roman"/>
          <w:sz w:val="24"/>
          <w:szCs w:val="24"/>
        </w:rPr>
        <w:t xml:space="preserve">risk </w:t>
      </w:r>
      <w:r w:rsidR="003558DA" w:rsidRPr="00B31A73">
        <w:rPr>
          <w:rFonts w:ascii="Times New Roman" w:hAnsi="Times New Roman" w:cs="Times New Roman"/>
          <w:sz w:val="24"/>
          <w:szCs w:val="24"/>
        </w:rPr>
        <w:t>sentiment</w:t>
      </w:r>
      <w:r w:rsidR="00C25954" w:rsidRPr="00B31A73">
        <w:rPr>
          <w:rFonts w:ascii="Times New Roman" w:hAnsi="Times New Roman" w:cs="Times New Roman"/>
          <w:sz w:val="24"/>
          <w:szCs w:val="24"/>
        </w:rPr>
        <w:t xml:space="preserve"> </w:t>
      </w:r>
      <w:r w:rsidR="000A4C17">
        <w:rPr>
          <w:rFonts w:ascii="Times New Roman" w:hAnsi="Times New Roman" w:cs="Times New Roman"/>
          <w:sz w:val="24"/>
          <w:szCs w:val="24"/>
        </w:rPr>
        <w:t>would need to be modeled in some reasonable way</w:t>
      </w:r>
      <w:r w:rsidR="003558DA" w:rsidRPr="00B31A73">
        <w:rPr>
          <w:rFonts w:ascii="Times New Roman" w:hAnsi="Times New Roman" w:cs="Times New Roman"/>
          <w:sz w:val="24"/>
          <w:szCs w:val="24"/>
        </w:rPr>
        <w:t>.</w:t>
      </w:r>
      <w:r w:rsidR="00927964">
        <w:rPr>
          <w:rFonts w:ascii="Times New Roman" w:hAnsi="Times New Roman" w:cs="Times New Roman"/>
          <w:sz w:val="24"/>
          <w:szCs w:val="24"/>
        </w:rPr>
        <w:t xml:space="preserve">  Table 1 is a reminder that there is often a strong connection between sentiment and rates in the short term.</w:t>
      </w:r>
    </w:p>
    <w:p w14:paraId="72953BCB" w14:textId="303DFD6F" w:rsidR="00F5338A" w:rsidRPr="00B31A73" w:rsidRDefault="000B3589" w:rsidP="0042789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Current models do not distinguish between the v</w:t>
      </w:r>
      <w:r w:rsidR="004029CD" w:rsidRPr="00B31A73">
        <w:rPr>
          <w:rFonts w:ascii="Times New Roman" w:hAnsi="Times New Roman" w:cs="Times New Roman"/>
          <w:sz w:val="24"/>
          <w:szCs w:val="24"/>
        </w:rPr>
        <w:t xml:space="preserve">arious factors </w:t>
      </w:r>
      <w:r>
        <w:rPr>
          <w:rFonts w:ascii="Times New Roman" w:hAnsi="Times New Roman" w:cs="Times New Roman"/>
          <w:sz w:val="24"/>
          <w:szCs w:val="24"/>
        </w:rPr>
        <w:t xml:space="preserve">that </w:t>
      </w:r>
      <w:r w:rsidR="004029CD" w:rsidRPr="00B31A73">
        <w:rPr>
          <w:rFonts w:ascii="Times New Roman" w:hAnsi="Times New Roman" w:cs="Times New Roman"/>
          <w:sz w:val="24"/>
          <w:szCs w:val="24"/>
        </w:rPr>
        <w:t>driv</w:t>
      </w:r>
      <w:r>
        <w:rPr>
          <w:rFonts w:ascii="Times New Roman" w:hAnsi="Times New Roman" w:cs="Times New Roman"/>
          <w:sz w:val="24"/>
          <w:szCs w:val="24"/>
        </w:rPr>
        <w:t>e</w:t>
      </w:r>
      <w:r w:rsidR="004029CD" w:rsidRPr="00B31A73">
        <w:rPr>
          <w:rFonts w:ascii="Times New Roman" w:hAnsi="Times New Roman" w:cs="Times New Roman"/>
          <w:sz w:val="24"/>
          <w:szCs w:val="24"/>
        </w:rPr>
        <w:t xml:space="preserve"> returns.  While this simplifie</w:t>
      </w:r>
      <w:r w:rsidR="00F5338A" w:rsidRPr="00B31A73">
        <w:rPr>
          <w:rFonts w:ascii="Times New Roman" w:hAnsi="Times New Roman" w:cs="Times New Roman"/>
          <w:sz w:val="24"/>
          <w:szCs w:val="24"/>
        </w:rPr>
        <w:t>s</w:t>
      </w:r>
      <w:r w:rsidR="004029CD" w:rsidRPr="00B31A73">
        <w:rPr>
          <w:rFonts w:ascii="Times New Roman" w:hAnsi="Times New Roman" w:cs="Times New Roman"/>
          <w:sz w:val="24"/>
          <w:szCs w:val="24"/>
        </w:rPr>
        <w:t xml:space="preserve"> modeling</w:t>
      </w:r>
      <w:r w:rsidR="00F5338A" w:rsidRPr="00B31A73">
        <w:rPr>
          <w:rFonts w:ascii="Times New Roman" w:hAnsi="Times New Roman" w:cs="Times New Roman"/>
          <w:sz w:val="24"/>
          <w:szCs w:val="24"/>
        </w:rPr>
        <w:t>,</w:t>
      </w:r>
      <w:r w:rsidR="004029CD" w:rsidRPr="00B31A73">
        <w:rPr>
          <w:rFonts w:ascii="Times New Roman" w:hAnsi="Times New Roman" w:cs="Times New Roman"/>
          <w:sz w:val="24"/>
          <w:szCs w:val="24"/>
        </w:rPr>
        <w:t xml:space="preserve"> the volatility and correlation information</w:t>
      </w:r>
      <w:r>
        <w:rPr>
          <w:rFonts w:ascii="Times New Roman" w:hAnsi="Times New Roman" w:cs="Times New Roman"/>
          <w:sz w:val="24"/>
          <w:szCs w:val="24"/>
        </w:rPr>
        <w:t xml:space="preserve"> currently used</w:t>
      </w:r>
      <w:r w:rsidR="004029CD" w:rsidRPr="00B31A73">
        <w:rPr>
          <w:rFonts w:ascii="Times New Roman" w:hAnsi="Times New Roman" w:cs="Times New Roman"/>
          <w:sz w:val="24"/>
          <w:szCs w:val="24"/>
        </w:rPr>
        <w:t xml:space="preserve"> is </w:t>
      </w:r>
      <w:r w:rsidR="00F5338A" w:rsidRPr="00B31A73">
        <w:rPr>
          <w:rFonts w:ascii="Times New Roman" w:hAnsi="Times New Roman" w:cs="Times New Roman"/>
          <w:sz w:val="24"/>
          <w:szCs w:val="24"/>
        </w:rPr>
        <w:t xml:space="preserve">often </w:t>
      </w:r>
      <w:r w:rsidR="004029CD" w:rsidRPr="00B31A73">
        <w:rPr>
          <w:rFonts w:ascii="Times New Roman" w:hAnsi="Times New Roman" w:cs="Times New Roman"/>
          <w:sz w:val="24"/>
          <w:szCs w:val="24"/>
        </w:rPr>
        <w:t>not consistent</w:t>
      </w:r>
      <w:r w:rsidR="00F5338A" w:rsidRPr="00B31A73">
        <w:rPr>
          <w:rFonts w:ascii="Times New Roman" w:hAnsi="Times New Roman" w:cs="Times New Roman"/>
          <w:sz w:val="24"/>
          <w:szCs w:val="24"/>
        </w:rPr>
        <w:t xml:space="preserve"> </w:t>
      </w:r>
      <w:r w:rsidR="00C91619">
        <w:rPr>
          <w:rFonts w:ascii="Times New Roman" w:hAnsi="Times New Roman" w:cs="Times New Roman"/>
          <w:sz w:val="24"/>
          <w:szCs w:val="24"/>
        </w:rPr>
        <w:t>across time periods</w:t>
      </w:r>
      <w:r w:rsidR="004029CD" w:rsidRPr="00B31A73">
        <w:rPr>
          <w:rFonts w:ascii="Times New Roman" w:hAnsi="Times New Roman" w:cs="Times New Roman"/>
          <w:sz w:val="24"/>
          <w:szCs w:val="24"/>
        </w:rPr>
        <w:t xml:space="preserve"> and the connection to </w:t>
      </w:r>
      <w:r w:rsidR="00927964">
        <w:rPr>
          <w:rFonts w:ascii="Times New Roman" w:hAnsi="Times New Roman" w:cs="Times New Roman"/>
          <w:sz w:val="24"/>
          <w:szCs w:val="24"/>
        </w:rPr>
        <w:t xml:space="preserve">the </w:t>
      </w:r>
      <w:r w:rsidR="004029CD" w:rsidRPr="00B31A73">
        <w:rPr>
          <w:rFonts w:ascii="Times New Roman" w:hAnsi="Times New Roman" w:cs="Times New Roman"/>
          <w:sz w:val="24"/>
          <w:szCs w:val="24"/>
        </w:rPr>
        <w:t>underlying fundamentals</w:t>
      </w:r>
      <w:r w:rsidR="00927964">
        <w:rPr>
          <w:rFonts w:ascii="Times New Roman" w:hAnsi="Times New Roman" w:cs="Times New Roman"/>
          <w:sz w:val="24"/>
          <w:szCs w:val="24"/>
        </w:rPr>
        <w:t xml:space="preserve"> that ultimately drive returns -</w:t>
      </w:r>
      <w:r w:rsidR="004029CD" w:rsidRPr="00B31A73">
        <w:rPr>
          <w:rFonts w:ascii="Times New Roman" w:hAnsi="Times New Roman" w:cs="Times New Roman"/>
          <w:sz w:val="24"/>
          <w:szCs w:val="24"/>
        </w:rPr>
        <w:t xml:space="preserve"> </w:t>
      </w:r>
      <w:r w:rsidR="008D0B97" w:rsidRPr="00B31A73">
        <w:rPr>
          <w:rFonts w:ascii="Times New Roman" w:hAnsi="Times New Roman" w:cs="Times New Roman"/>
          <w:sz w:val="24"/>
          <w:szCs w:val="24"/>
        </w:rPr>
        <w:t>earnings</w:t>
      </w:r>
      <w:r w:rsidR="00A938F8" w:rsidRPr="00B31A73">
        <w:rPr>
          <w:rFonts w:ascii="Times New Roman" w:hAnsi="Times New Roman" w:cs="Times New Roman"/>
          <w:sz w:val="24"/>
          <w:szCs w:val="24"/>
        </w:rPr>
        <w:t>, payout ratios, economic growth, inflation and interest rates</w:t>
      </w:r>
      <w:r w:rsidR="004029CD" w:rsidRPr="00B31A73">
        <w:rPr>
          <w:rFonts w:ascii="Times New Roman" w:hAnsi="Times New Roman" w:cs="Times New Roman"/>
          <w:sz w:val="24"/>
          <w:szCs w:val="24"/>
        </w:rPr>
        <w:t xml:space="preserve"> is lost</w:t>
      </w:r>
      <w:r w:rsidR="00A938F8" w:rsidRPr="00B31A73">
        <w:rPr>
          <w:rFonts w:ascii="Times New Roman" w:hAnsi="Times New Roman" w:cs="Times New Roman"/>
          <w:sz w:val="24"/>
          <w:szCs w:val="24"/>
        </w:rPr>
        <w:t>.  While valid, reliable models for these</w:t>
      </w:r>
      <w:r w:rsidR="00F5338A" w:rsidRPr="00B31A73">
        <w:rPr>
          <w:rFonts w:ascii="Times New Roman" w:hAnsi="Times New Roman" w:cs="Times New Roman"/>
          <w:sz w:val="24"/>
          <w:szCs w:val="24"/>
        </w:rPr>
        <w:t xml:space="preserve"> other</w:t>
      </w:r>
      <w:r w:rsidR="00A938F8" w:rsidRPr="00B31A73">
        <w:rPr>
          <w:rFonts w:ascii="Times New Roman" w:hAnsi="Times New Roman" w:cs="Times New Roman"/>
          <w:sz w:val="24"/>
          <w:szCs w:val="24"/>
        </w:rPr>
        <w:t xml:space="preserve"> factors </w:t>
      </w:r>
      <w:r w:rsidR="00EF0A38" w:rsidRPr="00B31A73">
        <w:rPr>
          <w:rFonts w:ascii="Times New Roman" w:hAnsi="Times New Roman" w:cs="Times New Roman"/>
          <w:sz w:val="24"/>
          <w:szCs w:val="24"/>
        </w:rPr>
        <w:t>may not be</w:t>
      </w:r>
      <w:r w:rsidR="00A938F8" w:rsidRPr="00B31A73">
        <w:rPr>
          <w:rFonts w:ascii="Times New Roman" w:hAnsi="Times New Roman" w:cs="Times New Roman"/>
          <w:sz w:val="24"/>
          <w:szCs w:val="24"/>
        </w:rPr>
        <w:t xml:space="preserve"> easily developed, the interpretation of results from modeling </w:t>
      </w:r>
      <w:r w:rsidR="00C25954" w:rsidRPr="00B31A73">
        <w:rPr>
          <w:rFonts w:ascii="Times New Roman" w:hAnsi="Times New Roman" w:cs="Times New Roman"/>
          <w:sz w:val="24"/>
          <w:szCs w:val="24"/>
        </w:rPr>
        <w:t>may</w:t>
      </w:r>
      <w:r w:rsidR="00A938F8" w:rsidRPr="00B31A73">
        <w:rPr>
          <w:rFonts w:ascii="Times New Roman" w:hAnsi="Times New Roman" w:cs="Times New Roman"/>
          <w:sz w:val="24"/>
          <w:szCs w:val="24"/>
        </w:rPr>
        <w:t xml:space="preserve"> be improved by tying outcomes back to economic fundamentals</w:t>
      </w:r>
      <w:r w:rsidR="00A02C70" w:rsidRPr="00B31A73">
        <w:rPr>
          <w:rFonts w:ascii="Times New Roman" w:hAnsi="Times New Roman" w:cs="Times New Roman"/>
          <w:sz w:val="24"/>
          <w:szCs w:val="24"/>
        </w:rPr>
        <w:t xml:space="preserve">.  </w:t>
      </w:r>
    </w:p>
    <w:p w14:paraId="53D6685F" w14:textId="263F1066" w:rsidR="00F5338A" w:rsidRPr="00B31A73" w:rsidRDefault="00C91619" w:rsidP="00F533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w:t>
      </w:r>
      <w:r w:rsidR="00F5338A" w:rsidRPr="00B31A73">
        <w:rPr>
          <w:rFonts w:ascii="Times New Roman" w:hAnsi="Times New Roman" w:cs="Times New Roman"/>
          <w:sz w:val="24"/>
          <w:szCs w:val="24"/>
        </w:rPr>
        <w:t>andomness in returns is driven primarily</w:t>
      </w:r>
      <w:r w:rsidR="00EF0A38" w:rsidRPr="00B31A73">
        <w:rPr>
          <w:rFonts w:ascii="Times New Roman" w:hAnsi="Times New Roman" w:cs="Times New Roman"/>
          <w:sz w:val="24"/>
          <w:szCs w:val="24"/>
        </w:rPr>
        <w:t xml:space="preserve"> </w:t>
      </w:r>
      <w:r w:rsidR="00927964">
        <w:rPr>
          <w:rFonts w:ascii="Times New Roman" w:hAnsi="Times New Roman" w:cs="Times New Roman"/>
          <w:sz w:val="24"/>
          <w:szCs w:val="24"/>
        </w:rPr>
        <w:t>by some of</w:t>
      </w:r>
      <w:r>
        <w:rPr>
          <w:rFonts w:ascii="Times New Roman" w:hAnsi="Times New Roman" w:cs="Times New Roman"/>
          <w:sz w:val="24"/>
          <w:szCs w:val="24"/>
        </w:rPr>
        <w:t xml:space="preserve"> the factors</w:t>
      </w:r>
      <w:r w:rsidR="00C25954" w:rsidRPr="00B31A73">
        <w:rPr>
          <w:rFonts w:ascii="Times New Roman" w:hAnsi="Times New Roman" w:cs="Times New Roman"/>
          <w:sz w:val="24"/>
          <w:szCs w:val="24"/>
        </w:rPr>
        <w:t xml:space="preserve"> that</w:t>
      </w:r>
      <w:r>
        <w:rPr>
          <w:rFonts w:ascii="Times New Roman" w:hAnsi="Times New Roman" w:cs="Times New Roman"/>
          <w:sz w:val="24"/>
          <w:szCs w:val="24"/>
        </w:rPr>
        <w:t xml:space="preserve"> are part of</w:t>
      </w:r>
      <w:r w:rsidR="00C25954" w:rsidRPr="00B31A73">
        <w:rPr>
          <w:rFonts w:ascii="Times New Roman" w:hAnsi="Times New Roman" w:cs="Times New Roman"/>
          <w:sz w:val="24"/>
          <w:szCs w:val="24"/>
        </w:rPr>
        <w:t xml:space="preserve"> risk </w:t>
      </w:r>
      <w:r w:rsidR="00F5338A" w:rsidRPr="00B31A73">
        <w:rPr>
          <w:rFonts w:ascii="Times New Roman" w:hAnsi="Times New Roman" w:cs="Times New Roman"/>
          <w:sz w:val="24"/>
          <w:szCs w:val="24"/>
        </w:rPr>
        <w:t>sentiment and this would be captured more directly</w:t>
      </w:r>
      <w:r>
        <w:rPr>
          <w:rFonts w:ascii="Times New Roman" w:hAnsi="Times New Roman" w:cs="Times New Roman"/>
          <w:sz w:val="24"/>
          <w:szCs w:val="24"/>
        </w:rPr>
        <w:t>.</w:t>
      </w:r>
      <w:r w:rsidR="00F5338A" w:rsidRPr="00B31A73">
        <w:rPr>
          <w:rFonts w:ascii="Times New Roman" w:hAnsi="Times New Roman" w:cs="Times New Roman"/>
          <w:sz w:val="24"/>
          <w:szCs w:val="24"/>
        </w:rPr>
        <w:t xml:space="preserve">  At the same time, reversion to mean </w:t>
      </w:r>
      <w:r w:rsidR="00C3045C" w:rsidRPr="00B31A73">
        <w:rPr>
          <w:rFonts w:ascii="Times New Roman" w:hAnsi="Times New Roman" w:cs="Times New Roman"/>
          <w:sz w:val="24"/>
          <w:szCs w:val="24"/>
        </w:rPr>
        <w:t xml:space="preserve">in prices </w:t>
      </w:r>
      <w:r w:rsidR="00F5338A" w:rsidRPr="00B31A73">
        <w:rPr>
          <w:rFonts w:ascii="Times New Roman" w:hAnsi="Times New Roman" w:cs="Times New Roman"/>
          <w:sz w:val="24"/>
          <w:szCs w:val="24"/>
        </w:rPr>
        <w:t xml:space="preserve">would be </w:t>
      </w:r>
      <w:r w:rsidR="00C3045C" w:rsidRPr="00B31A73">
        <w:rPr>
          <w:rFonts w:ascii="Times New Roman" w:hAnsi="Times New Roman" w:cs="Times New Roman"/>
          <w:sz w:val="24"/>
          <w:szCs w:val="24"/>
        </w:rPr>
        <w:t xml:space="preserve">linked </w:t>
      </w:r>
      <w:r>
        <w:rPr>
          <w:rFonts w:ascii="Times New Roman" w:hAnsi="Times New Roman" w:cs="Times New Roman"/>
          <w:sz w:val="24"/>
          <w:szCs w:val="24"/>
        </w:rPr>
        <w:t>primarily</w:t>
      </w:r>
      <w:r w:rsidR="00C3045C" w:rsidRPr="00B31A73">
        <w:rPr>
          <w:rFonts w:ascii="Times New Roman" w:hAnsi="Times New Roman" w:cs="Times New Roman"/>
          <w:sz w:val="24"/>
          <w:szCs w:val="24"/>
        </w:rPr>
        <w:t xml:space="preserve"> to</w:t>
      </w:r>
      <w:r>
        <w:rPr>
          <w:rFonts w:ascii="Times New Roman" w:hAnsi="Times New Roman" w:cs="Times New Roman"/>
          <w:sz w:val="24"/>
          <w:szCs w:val="24"/>
        </w:rPr>
        <w:t xml:space="preserve"> risk</w:t>
      </w:r>
      <w:r w:rsidR="00F5338A" w:rsidRPr="00B31A73">
        <w:rPr>
          <w:rFonts w:ascii="Times New Roman" w:hAnsi="Times New Roman" w:cs="Times New Roman"/>
          <w:sz w:val="24"/>
          <w:szCs w:val="24"/>
        </w:rPr>
        <w:t xml:space="preserve"> sentiment</w:t>
      </w:r>
      <w:r w:rsidR="00927964">
        <w:rPr>
          <w:rFonts w:ascii="Times New Roman" w:hAnsi="Times New Roman" w:cs="Times New Roman"/>
          <w:sz w:val="24"/>
          <w:szCs w:val="24"/>
        </w:rPr>
        <w:t xml:space="preserve">, but also </w:t>
      </w:r>
      <w:r>
        <w:rPr>
          <w:rFonts w:ascii="Times New Roman" w:hAnsi="Times New Roman" w:cs="Times New Roman"/>
          <w:sz w:val="24"/>
          <w:szCs w:val="24"/>
        </w:rPr>
        <w:t xml:space="preserve">to </w:t>
      </w:r>
      <w:r w:rsidR="00975585" w:rsidRPr="00B31A73">
        <w:rPr>
          <w:rFonts w:ascii="Times New Roman" w:hAnsi="Times New Roman" w:cs="Times New Roman"/>
          <w:sz w:val="24"/>
          <w:szCs w:val="24"/>
        </w:rPr>
        <w:t xml:space="preserve">interest rates </w:t>
      </w:r>
      <w:r>
        <w:rPr>
          <w:rFonts w:ascii="Times New Roman" w:hAnsi="Times New Roman" w:cs="Times New Roman"/>
          <w:sz w:val="24"/>
          <w:szCs w:val="24"/>
        </w:rPr>
        <w:t>to the</w:t>
      </w:r>
      <w:r w:rsidR="00975585" w:rsidRPr="00B31A73">
        <w:rPr>
          <w:rFonts w:ascii="Times New Roman" w:hAnsi="Times New Roman" w:cs="Times New Roman"/>
          <w:sz w:val="24"/>
          <w:szCs w:val="24"/>
        </w:rPr>
        <w:t xml:space="preserve"> extent </w:t>
      </w:r>
      <w:r>
        <w:rPr>
          <w:rFonts w:ascii="Times New Roman" w:hAnsi="Times New Roman" w:cs="Times New Roman"/>
          <w:sz w:val="24"/>
          <w:szCs w:val="24"/>
        </w:rPr>
        <w:t>they</w:t>
      </w:r>
      <w:r w:rsidR="00975585" w:rsidRPr="00B31A73">
        <w:rPr>
          <w:rFonts w:ascii="Times New Roman" w:hAnsi="Times New Roman" w:cs="Times New Roman"/>
          <w:sz w:val="24"/>
          <w:szCs w:val="24"/>
        </w:rPr>
        <w:t xml:space="preserve"> are assumed to revert</w:t>
      </w:r>
      <w:r w:rsidR="00F5338A" w:rsidRPr="00B31A73">
        <w:rPr>
          <w:rFonts w:ascii="Times New Roman" w:hAnsi="Times New Roman" w:cs="Times New Roman"/>
          <w:sz w:val="24"/>
          <w:szCs w:val="24"/>
        </w:rPr>
        <w:t>.</w:t>
      </w:r>
    </w:p>
    <w:p w14:paraId="20F5D32D" w14:textId="5F2DA0F9" w:rsidR="00A938F8" w:rsidRPr="00B31A73" w:rsidRDefault="00F5338A" w:rsidP="00427892">
      <w:pPr>
        <w:pStyle w:val="ListParagraph"/>
        <w:numPr>
          <w:ilvl w:val="0"/>
          <w:numId w:val="5"/>
        </w:numPr>
        <w:rPr>
          <w:rFonts w:ascii="Times New Roman" w:hAnsi="Times New Roman" w:cs="Times New Roman"/>
          <w:sz w:val="24"/>
          <w:szCs w:val="24"/>
        </w:rPr>
      </w:pPr>
      <w:r w:rsidRPr="00B31A73">
        <w:rPr>
          <w:rFonts w:ascii="Times New Roman" w:hAnsi="Times New Roman" w:cs="Times New Roman"/>
          <w:sz w:val="24"/>
          <w:szCs w:val="24"/>
        </w:rPr>
        <w:lastRenderedPageBreak/>
        <w:t xml:space="preserve">Volatility </w:t>
      </w:r>
      <w:r w:rsidR="00A02C70" w:rsidRPr="00B31A73">
        <w:rPr>
          <w:rFonts w:ascii="Times New Roman" w:hAnsi="Times New Roman" w:cs="Times New Roman"/>
          <w:sz w:val="24"/>
          <w:szCs w:val="24"/>
        </w:rPr>
        <w:t xml:space="preserve">would </w:t>
      </w:r>
      <w:r w:rsidRPr="00B31A73">
        <w:rPr>
          <w:rFonts w:ascii="Times New Roman" w:hAnsi="Times New Roman" w:cs="Times New Roman"/>
          <w:sz w:val="24"/>
          <w:szCs w:val="24"/>
        </w:rPr>
        <w:t>be driven primarily by risk sentiment</w:t>
      </w:r>
      <w:r w:rsidR="00A02C70" w:rsidRPr="00B31A73">
        <w:rPr>
          <w:rFonts w:ascii="Times New Roman" w:hAnsi="Times New Roman" w:cs="Times New Roman"/>
          <w:sz w:val="24"/>
          <w:szCs w:val="24"/>
        </w:rPr>
        <w:t>, just as it</w:t>
      </w:r>
      <w:r w:rsidRPr="00B31A73">
        <w:rPr>
          <w:rFonts w:ascii="Times New Roman" w:hAnsi="Times New Roman" w:cs="Times New Roman"/>
          <w:sz w:val="24"/>
          <w:szCs w:val="24"/>
        </w:rPr>
        <w:t xml:space="preserve"> is</w:t>
      </w:r>
      <w:r w:rsidR="00A02C70" w:rsidRPr="00B31A73">
        <w:rPr>
          <w:rFonts w:ascii="Times New Roman" w:hAnsi="Times New Roman" w:cs="Times New Roman"/>
          <w:sz w:val="24"/>
          <w:szCs w:val="24"/>
        </w:rPr>
        <w:t xml:space="preserve"> in the real world</w:t>
      </w:r>
      <w:r w:rsidR="00A938F8" w:rsidRPr="00B31A73">
        <w:rPr>
          <w:rFonts w:ascii="Times New Roman" w:hAnsi="Times New Roman" w:cs="Times New Roman"/>
          <w:sz w:val="24"/>
          <w:szCs w:val="24"/>
        </w:rPr>
        <w:t>.</w:t>
      </w:r>
      <w:r w:rsidR="004029CD" w:rsidRPr="00B31A73">
        <w:rPr>
          <w:rFonts w:ascii="Times New Roman" w:hAnsi="Times New Roman" w:cs="Times New Roman"/>
          <w:sz w:val="24"/>
          <w:szCs w:val="24"/>
        </w:rPr>
        <w:t xml:space="preserve">  </w:t>
      </w:r>
      <w:r w:rsidRPr="00B31A73">
        <w:rPr>
          <w:rFonts w:ascii="Times New Roman" w:hAnsi="Times New Roman" w:cs="Times New Roman"/>
          <w:sz w:val="24"/>
          <w:szCs w:val="24"/>
        </w:rPr>
        <w:t xml:space="preserve">It is the similarities or differences in </w:t>
      </w:r>
      <w:r w:rsidR="00347CC9" w:rsidRPr="00B31A73">
        <w:rPr>
          <w:rFonts w:ascii="Times New Roman" w:hAnsi="Times New Roman" w:cs="Times New Roman"/>
          <w:sz w:val="24"/>
          <w:szCs w:val="24"/>
        </w:rPr>
        <w:t xml:space="preserve">returns and </w:t>
      </w:r>
      <w:r w:rsidR="00C3045C" w:rsidRPr="00B31A73">
        <w:rPr>
          <w:rFonts w:ascii="Times New Roman" w:hAnsi="Times New Roman" w:cs="Times New Roman"/>
          <w:sz w:val="24"/>
          <w:szCs w:val="24"/>
        </w:rPr>
        <w:t xml:space="preserve">changes in </w:t>
      </w:r>
      <w:r w:rsidR="00347CC9" w:rsidRPr="00B31A73">
        <w:rPr>
          <w:rFonts w:ascii="Times New Roman" w:hAnsi="Times New Roman" w:cs="Times New Roman"/>
          <w:sz w:val="24"/>
          <w:szCs w:val="24"/>
        </w:rPr>
        <w:t>prices</w:t>
      </w:r>
      <w:r w:rsidRPr="00B31A73">
        <w:rPr>
          <w:rFonts w:ascii="Times New Roman" w:hAnsi="Times New Roman" w:cs="Times New Roman"/>
          <w:sz w:val="24"/>
          <w:szCs w:val="24"/>
        </w:rPr>
        <w:t xml:space="preserve"> that create correlations between asset classes.  Separately identifying the impact of interest rates</w:t>
      </w:r>
      <w:r w:rsidR="00C3045C" w:rsidRPr="00B31A73">
        <w:rPr>
          <w:rFonts w:ascii="Times New Roman" w:hAnsi="Times New Roman" w:cs="Times New Roman"/>
          <w:sz w:val="24"/>
          <w:szCs w:val="24"/>
        </w:rPr>
        <w:t xml:space="preserve"> on returns and prices </w:t>
      </w:r>
      <w:r w:rsidRPr="00B31A73">
        <w:rPr>
          <w:rFonts w:ascii="Times New Roman" w:hAnsi="Times New Roman" w:cs="Times New Roman"/>
          <w:sz w:val="24"/>
          <w:szCs w:val="24"/>
        </w:rPr>
        <w:t xml:space="preserve">should allow </w:t>
      </w:r>
      <w:r w:rsidR="00C91619">
        <w:rPr>
          <w:rFonts w:ascii="Times New Roman" w:hAnsi="Times New Roman" w:cs="Times New Roman"/>
          <w:sz w:val="24"/>
          <w:szCs w:val="24"/>
        </w:rPr>
        <w:t xml:space="preserve">for </w:t>
      </w:r>
      <w:r w:rsidRPr="00B31A73">
        <w:rPr>
          <w:rFonts w:ascii="Times New Roman" w:hAnsi="Times New Roman" w:cs="Times New Roman"/>
          <w:sz w:val="24"/>
          <w:szCs w:val="24"/>
        </w:rPr>
        <w:t xml:space="preserve">more realistic </w:t>
      </w:r>
      <w:r w:rsidR="00C91619">
        <w:rPr>
          <w:rFonts w:ascii="Times New Roman" w:hAnsi="Times New Roman" w:cs="Times New Roman"/>
          <w:sz w:val="24"/>
          <w:szCs w:val="24"/>
        </w:rPr>
        <w:t>relationships between asset classes</w:t>
      </w:r>
      <w:r w:rsidRPr="00B31A73">
        <w:rPr>
          <w:rFonts w:ascii="Times New Roman" w:hAnsi="Times New Roman" w:cs="Times New Roman"/>
          <w:sz w:val="24"/>
          <w:szCs w:val="24"/>
        </w:rPr>
        <w:t>.</w:t>
      </w:r>
    </w:p>
    <w:p w14:paraId="56997E67" w14:textId="10FC2CC6" w:rsidR="00A938F8" w:rsidRPr="00B31A73" w:rsidRDefault="004029CD" w:rsidP="00A938F8">
      <w:pPr>
        <w:pStyle w:val="ListParagraph"/>
        <w:numPr>
          <w:ilvl w:val="0"/>
          <w:numId w:val="5"/>
        </w:numPr>
        <w:rPr>
          <w:rFonts w:ascii="Times New Roman" w:hAnsi="Times New Roman" w:cs="Times New Roman"/>
          <w:sz w:val="24"/>
          <w:szCs w:val="24"/>
        </w:rPr>
      </w:pPr>
      <w:r w:rsidRPr="00B31A73">
        <w:rPr>
          <w:rFonts w:ascii="Times New Roman" w:hAnsi="Times New Roman" w:cs="Times New Roman"/>
          <w:sz w:val="24"/>
          <w:szCs w:val="24"/>
        </w:rPr>
        <w:t>Risk s</w:t>
      </w:r>
      <w:r w:rsidR="00A938F8" w:rsidRPr="00B31A73">
        <w:rPr>
          <w:rFonts w:ascii="Times New Roman" w:hAnsi="Times New Roman" w:cs="Times New Roman"/>
          <w:sz w:val="24"/>
          <w:szCs w:val="24"/>
        </w:rPr>
        <w:t xml:space="preserve">entiment for equities and corporate bonds </w:t>
      </w:r>
      <w:r w:rsidR="00C3045C" w:rsidRPr="00B31A73">
        <w:rPr>
          <w:rFonts w:ascii="Times New Roman" w:hAnsi="Times New Roman" w:cs="Times New Roman"/>
          <w:sz w:val="24"/>
          <w:szCs w:val="24"/>
        </w:rPr>
        <w:t xml:space="preserve">has already been shown to be </w:t>
      </w:r>
      <w:r w:rsidR="00A938F8" w:rsidRPr="00B31A73">
        <w:rPr>
          <w:rFonts w:ascii="Times New Roman" w:hAnsi="Times New Roman" w:cs="Times New Roman"/>
          <w:sz w:val="24"/>
          <w:szCs w:val="24"/>
        </w:rPr>
        <w:t>highly correlated</w:t>
      </w:r>
      <w:r w:rsidRPr="00B31A73">
        <w:rPr>
          <w:rFonts w:ascii="Times New Roman" w:hAnsi="Times New Roman" w:cs="Times New Roman"/>
          <w:sz w:val="24"/>
          <w:szCs w:val="24"/>
        </w:rPr>
        <w:t xml:space="preserve"> as </w:t>
      </w:r>
      <w:r w:rsidR="00C91619">
        <w:rPr>
          <w:rFonts w:ascii="Times New Roman" w:hAnsi="Times New Roman" w:cs="Times New Roman"/>
          <w:sz w:val="24"/>
          <w:szCs w:val="24"/>
        </w:rPr>
        <w:t>might</w:t>
      </w:r>
      <w:r w:rsidRPr="00B31A73">
        <w:rPr>
          <w:rFonts w:ascii="Times New Roman" w:hAnsi="Times New Roman" w:cs="Times New Roman"/>
          <w:sz w:val="24"/>
          <w:szCs w:val="24"/>
        </w:rPr>
        <w:t xml:space="preserve"> be expected</w:t>
      </w:r>
      <w:r w:rsidR="00A938F8" w:rsidRPr="00B31A73">
        <w:rPr>
          <w:rFonts w:ascii="Times New Roman" w:hAnsi="Times New Roman" w:cs="Times New Roman"/>
          <w:sz w:val="24"/>
          <w:szCs w:val="24"/>
        </w:rPr>
        <w:t xml:space="preserve">. </w:t>
      </w:r>
      <w:r w:rsidR="00C91619">
        <w:rPr>
          <w:rFonts w:ascii="Times New Roman" w:hAnsi="Times New Roman" w:cs="Times New Roman"/>
          <w:sz w:val="24"/>
          <w:szCs w:val="24"/>
        </w:rPr>
        <w:t xml:space="preserve"> Once interest rates and risk sentiment are separated, t</w:t>
      </w:r>
      <w:r w:rsidR="00A938F8" w:rsidRPr="00B31A73">
        <w:rPr>
          <w:rFonts w:ascii="Times New Roman" w:hAnsi="Times New Roman" w:cs="Times New Roman"/>
          <w:sz w:val="24"/>
          <w:szCs w:val="24"/>
        </w:rPr>
        <w:t>he 80% - 90% correlation</w:t>
      </w:r>
      <w:r w:rsidRPr="00B31A73">
        <w:rPr>
          <w:rFonts w:ascii="Times New Roman" w:hAnsi="Times New Roman" w:cs="Times New Roman"/>
          <w:sz w:val="24"/>
          <w:szCs w:val="24"/>
        </w:rPr>
        <w:t xml:space="preserve"> of risk </w:t>
      </w:r>
      <w:r w:rsidR="00A938F8" w:rsidRPr="00B31A73">
        <w:rPr>
          <w:rFonts w:ascii="Times New Roman" w:hAnsi="Times New Roman" w:cs="Times New Roman"/>
          <w:sz w:val="24"/>
          <w:szCs w:val="24"/>
        </w:rPr>
        <w:t>sentiment</w:t>
      </w:r>
      <w:r w:rsidRPr="00B31A73">
        <w:rPr>
          <w:rFonts w:ascii="Times New Roman" w:hAnsi="Times New Roman" w:cs="Times New Roman"/>
          <w:sz w:val="24"/>
          <w:szCs w:val="24"/>
        </w:rPr>
        <w:t xml:space="preserve"> for these two asset classes </w:t>
      </w:r>
      <w:r w:rsidR="00A938F8" w:rsidRPr="00B31A73">
        <w:rPr>
          <w:rFonts w:ascii="Times New Roman" w:hAnsi="Times New Roman" w:cs="Times New Roman"/>
          <w:sz w:val="24"/>
          <w:szCs w:val="24"/>
        </w:rPr>
        <w:t>can be</w:t>
      </w:r>
      <w:r w:rsidR="00C91619">
        <w:rPr>
          <w:rFonts w:ascii="Times New Roman" w:hAnsi="Times New Roman" w:cs="Times New Roman"/>
          <w:sz w:val="24"/>
          <w:szCs w:val="24"/>
        </w:rPr>
        <w:t xml:space="preserve"> utilized.  </w:t>
      </w:r>
      <w:r w:rsidR="00A938F8" w:rsidRPr="00B31A73">
        <w:rPr>
          <w:rFonts w:ascii="Times New Roman" w:hAnsi="Times New Roman" w:cs="Times New Roman"/>
          <w:sz w:val="24"/>
          <w:szCs w:val="24"/>
        </w:rPr>
        <w:t xml:space="preserve"> </w:t>
      </w:r>
    </w:p>
    <w:p w14:paraId="75023F0B" w14:textId="66EDF2FA" w:rsidR="00A938F8" w:rsidRPr="00B31A73" w:rsidRDefault="00C91619" w:rsidP="00815A39">
      <w:pPr>
        <w:spacing w:after="120"/>
      </w:pPr>
      <w:r>
        <w:t>Some</w:t>
      </w:r>
      <w:r w:rsidR="00A938F8" w:rsidRPr="00B31A73">
        <w:t xml:space="preserve"> </w:t>
      </w:r>
      <w:r w:rsidR="00F5338A" w:rsidRPr="00B31A73">
        <w:t xml:space="preserve">new </w:t>
      </w:r>
      <w:r w:rsidR="00A938F8" w:rsidRPr="00B31A73">
        <w:t>questions and challenges arise with the consideration of a new structure for capital markets modeling.</w:t>
      </w:r>
      <w:r w:rsidR="00A02C70" w:rsidRPr="00B31A73">
        <w:t xml:space="preserve">  For example, </w:t>
      </w:r>
    </w:p>
    <w:p w14:paraId="62338CA0" w14:textId="31A29B43" w:rsidR="008D0B97" w:rsidRPr="00B31A73" w:rsidRDefault="008D0B97" w:rsidP="008D0B97">
      <w:pPr>
        <w:pStyle w:val="ListParagraph"/>
        <w:numPr>
          <w:ilvl w:val="0"/>
          <w:numId w:val="6"/>
        </w:numPr>
        <w:rPr>
          <w:rFonts w:ascii="Times New Roman" w:hAnsi="Times New Roman" w:cs="Times New Roman"/>
          <w:sz w:val="24"/>
          <w:szCs w:val="24"/>
        </w:rPr>
      </w:pPr>
      <w:r w:rsidRPr="00B31A73">
        <w:rPr>
          <w:rFonts w:ascii="Times New Roman" w:hAnsi="Times New Roman" w:cs="Times New Roman"/>
          <w:sz w:val="24"/>
          <w:szCs w:val="24"/>
        </w:rPr>
        <w:t xml:space="preserve">What are the autoregressive and other properties of </w:t>
      </w:r>
      <w:r w:rsidR="00F5338A" w:rsidRPr="00B31A73">
        <w:rPr>
          <w:rFonts w:ascii="Times New Roman" w:hAnsi="Times New Roman" w:cs="Times New Roman"/>
          <w:sz w:val="24"/>
          <w:szCs w:val="24"/>
        </w:rPr>
        <w:t xml:space="preserve">risk </w:t>
      </w:r>
      <w:r w:rsidRPr="00B31A73">
        <w:rPr>
          <w:rFonts w:ascii="Times New Roman" w:hAnsi="Times New Roman" w:cs="Times New Roman"/>
          <w:sz w:val="24"/>
          <w:szCs w:val="24"/>
        </w:rPr>
        <w:t>sentiment?</w:t>
      </w:r>
    </w:p>
    <w:p w14:paraId="4B4FA534" w14:textId="462B295D" w:rsidR="008D0B97" w:rsidRPr="00B31A73" w:rsidRDefault="008D0B97" w:rsidP="008D0B97">
      <w:pPr>
        <w:pStyle w:val="ListParagraph"/>
        <w:numPr>
          <w:ilvl w:val="0"/>
          <w:numId w:val="6"/>
        </w:numPr>
        <w:rPr>
          <w:rFonts w:ascii="Times New Roman" w:hAnsi="Times New Roman" w:cs="Times New Roman"/>
          <w:sz w:val="24"/>
          <w:szCs w:val="24"/>
        </w:rPr>
      </w:pPr>
      <w:r w:rsidRPr="00B31A73">
        <w:rPr>
          <w:rFonts w:ascii="Times New Roman" w:hAnsi="Times New Roman" w:cs="Times New Roman"/>
          <w:sz w:val="24"/>
          <w:szCs w:val="24"/>
        </w:rPr>
        <w:t xml:space="preserve">How should the relationship between interest rates and </w:t>
      </w:r>
      <w:r w:rsidR="00F5338A" w:rsidRPr="00B31A73">
        <w:rPr>
          <w:rFonts w:ascii="Times New Roman" w:hAnsi="Times New Roman" w:cs="Times New Roman"/>
          <w:sz w:val="24"/>
          <w:szCs w:val="24"/>
        </w:rPr>
        <w:t xml:space="preserve">risk </w:t>
      </w:r>
      <w:r w:rsidRPr="00B31A73">
        <w:rPr>
          <w:rFonts w:ascii="Times New Roman" w:hAnsi="Times New Roman" w:cs="Times New Roman"/>
          <w:sz w:val="24"/>
          <w:szCs w:val="24"/>
        </w:rPr>
        <w:t>sentiment be modeled?</w:t>
      </w:r>
    </w:p>
    <w:p w14:paraId="6B3E72E7" w14:textId="4CEC883F" w:rsidR="00F5338A" w:rsidRPr="00B31A73" w:rsidRDefault="00F5338A" w:rsidP="008D0B97">
      <w:pPr>
        <w:pStyle w:val="ListParagraph"/>
        <w:numPr>
          <w:ilvl w:val="0"/>
          <w:numId w:val="6"/>
        </w:numPr>
        <w:rPr>
          <w:rFonts w:ascii="Times New Roman" w:hAnsi="Times New Roman" w:cs="Times New Roman"/>
          <w:sz w:val="24"/>
          <w:szCs w:val="24"/>
        </w:rPr>
      </w:pPr>
      <w:r w:rsidRPr="00B31A73">
        <w:rPr>
          <w:rFonts w:ascii="Times New Roman" w:hAnsi="Times New Roman" w:cs="Times New Roman"/>
          <w:sz w:val="24"/>
          <w:szCs w:val="24"/>
        </w:rPr>
        <w:t>How should inflation be modeled and what is the impact on returns and the correlation to interest rates and sentiment?</w:t>
      </w:r>
    </w:p>
    <w:p w14:paraId="7E2C548B" w14:textId="5CFF1670" w:rsidR="008D0B97" w:rsidRPr="00B31A73" w:rsidRDefault="008D0B97" w:rsidP="008D0B97">
      <w:pPr>
        <w:pStyle w:val="ListParagraph"/>
        <w:numPr>
          <w:ilvl w:val="0"/>
          <w:numId w:val="6"/>
        </w:numPr>
        <w:rPr>
          <w:rFonts w:ascii="Times New Roman" w:hAnsi="Times New Roman" w:cs="Times New Roman"/>
          <w:sz w:val="24"/>
          <w:szCs w:val="24"/>
        </w:rPr>
      </w:pPr>
      <w:r w:rsidRPr="00B31A73">
        <w:rPr>
          <w:rFonts w:ascii="Times New Roman" w:hAnsi="Times New Roman" w:cs="Times New Roman"/>
          <w:sz w:val="24"/>
          <w:szCs w:val="24"/>
        </w:rPr>
        <w:t>Can reasonable models</w:t>
      </w:r>
      <w:r w:rsidR="00F5338A" w:rsidRPr="00B31A73">
        <w:rPr>
          <w:rFonts w:ascii="Times New Roman" w:hAnsi="Times New Roman" w:cs="Times New Roman"/>
          <w:sz w:val="24"/>
          <w:szCs w:val="24"/>
        </w:rPr>
        <w:t xml:space="preserve"> </w:t>
      </w:r>
      <w:r w:rsidR="00927964">
        <w:rPr>
          <w:rFonts w:ascii="Times New Roman" w:hAnsi="Times New Roman" w:cs="Times New Roman"/>
          <w:sz w:val="24"/>
          <w:szCs w:val="24"/>
        </w:rPr>
        <w:t xml:space="preserve">for future cash flow based on </w:t>
      </w:r>
      <w:r w:rsidR="00F5338A" w:rsidRPr="00B31A73">
        <w:rPr>
          <w:rFonts w:ascii="Times New Roman" w:hAnsi="Times New Roman" w:cs="Times New Roman"/>
          <w:sz w:val="24"/>
          <w:szCs w:val="24"/>
        </w:rPr>
        <w:t>assumptions</w:t>
      </w:r>
      <w:r w:rsidRPr="00B31A73">
        <w:rPr>
          <w:rFonts w:ascii="Times New Roman" w:hAnsi="Times New Roman" w:cs="Times New Roman"/>
          <w:sz w:val="24"/>
          <w:szCs w:val="24"/>
        </w:rPr>
        <w:t xml:space="preserve"> for earnings,</w:t>
      </w:r>
      <w:r w:rsidR="00C3045C" w:rsidRPr="00B31A73">
        <w:rPr>
          <w:rFonts w:ascii="Times New Roman" w:hAnsi="Times New Roman" w:cs="Times New Roman"/>
          <w:sz w:val="24"/>
          <w:szCs w:val="24"/>
        </w:rPr>
        <w:t xml:space="preserve"> real estate income,</w:t>
      </w:r>
      <w:r w:rsidRPr="00B31A73">
        <w:rPr>
          <w:rFonts w:ascii="Times New Roman" w:hAnsi="Times New Roman" w:cs="Times New Roman"/>
          <w:sz w:val="24"/>
          <w:szCs w:val="24"/>
        </w:rPr>
        <w:t xml:space="preserve"> economic growth, inflation and interest rates</w:t>
      </w:r>
      <w:r w:rsidR="00927964">
        <w:rPr>
          <w:rFonts w:ascii="Times New Roman" w:hAnsi="Times New Roman" w:cs="Times New Roman"/>
          <w:sz w:val="24"/>
          <w:szCs w:val="24"/>
        </w:rPr>
        <w:t xml:space="preserve"> as well as</w:t>
      </w:r>
      <w:r w:rsidRPr="00B31A73">
        <w:rPr>
          <w:rFonts w:ascii="Times New Roman" w:hAnsi="Times New Roman" w:cs="Times New Roman"/>
          <w:sz w:val="24"/>
          <w:szCs w:val="24"/>
        </w:rPr>
        <w:t xml:space="preserve"> appropr</w:t>
      </w:r>
      <w:r w:rsidR="00F5338A" w:rsidRPr="00B31A73">
        <w:rPr>
          <w:rFonts w:ascii="Times New Roman" w:hAnsi="Times New Roman" w:cs="Times New Roman"/>
          <w:sz w:val="24"/>
          <w:szCs w:val="24"/>
        </w:rPr>
        <w:t>iate covariances be developed?</w:t>
      </w:r>
    </w:p>
    <w:p w14:paraId="278A308F" w14:textId="421C91F2" w:rsidR="00F5338A" w:rsidRPr="00B31A73" w:rsidRDefault="00F5338A" w:rsidP="008D0B97">
      <w:pPr>
        <w:pStyle w:val="ListParagraph"/>
        <w:numPr>
          <w:ilvl w:val="0"/>
          <w:numId w:val="6"/>
        </w:numPr>
        <w:rPr>
          <w:rFonts w:ascii="Times New Roman" w:hAnsi="Times New Roman" w:cs="Times New Roman"/>
          <w:sz w:val="24"/>
          <w:szCs w:val="24"/>
        </w:rPr>
      </w:pPr>
      <w:r w:rsidRPr="00B31A73">
        <w:rPr>
          <w:rFonts w:ascii="Times New Roman" w:hAnsi="Times New Roman" w:cs="Times New Roman"/>
          <w:sz w:val="24"/>
          <w:szCs w:val="24"/>
        </w:rPr>
        <w:t>How would assets</w:t>
      </w:r>
      <w:r w:rsidR="00C3045C" w:rsidRPr="00B31A73">
        <w:rPr>
          <w:rFonts w:ascii="Times New Roman" w:hAnsi="Times New Roman" w:cs="Times New Roman"/>
          <w:sz w:val="24"/>
          <w:szCs w:val="24"/>
        </w:rPr>
        <w:t xml:space="preserve"> </w:t>
      </w:r>
      <w:r w:rsidRPr="00B31A73">
        <w:rPr>
          <w:rFonts w:ascii="Times New Roman" w:hAnsi="Times New Roman" w:cs="Times New Roman"/>
          <w:sz w:val="24"/>
          <w:szCs w:val="24"/>
        </w:rPr>
        <w:t>such as commodities be modeled?</w:t>
      </w:r>
    </w:p>
    <w:p w14:paraId="451C7855" w14:textId="410CB774" w:rsidR="008D0B97" w:rsidRPr="00B31A73" w:rsidRDefault="00A02C70" w:rsidP="00815A39">
      <w:pPr>
        <w:spacing w:after="120"/>
      </w:pPr>
      <w:r w:rsidRPr="00B31A73">
        <w:t>While answering these questions and creating models for these economic factors is not trivial</w:t>
      </w:r>
      <w:r w:rsidR="00927964">
        <w:t>,</w:t>
      </w:r>
      <w:r w:rsidRPr="00B31A73">
        <w:t xml:space="preserve"> the potential for better modeling seems high.</w:t>
      </w:r>
      <w:r w:rsidR="00975585" w:rsidRPr="00B31A73">
        <w:t xml:space="preserve">  Better modeling would</w:t>
      </w:r>
      <w:r w:rsidR="00C91619">
        <w:t xml:space="preserve"> create a platform</w:t>
      </w:r>
      <w:r w:rsidR="00975585" w:rsidRPr="00B31A73">
        <w:t xml:space="preserve"> for better decision-making.  For investors this means better outcomes.  Note that better modeling may also drive more efficient allocation of capital and lower risk premiums.</w:t>
      </w:r>
    </w:p>
    <w:p w14:paraId="66DBF536" w14:textId="01324491" w:rsidR="00483F5B" w:rsidRPr="00B31A73" w:rsidRDefault="00F5338A" w:rsidP="00815A39">
      <w:pPr>
        <w:spacing w:after="120"/>
        <w:rPr>
          <w:b/>
        </w:rPr>
      </w:pPr>
      <w:r w:rsidRPr="00B31A73">
        <w:rPr>
          <w:b/>
        </w:rPr>
        <w:t xml:space="preserve">Insight into the </w:t>
      </w:r>
      <w:r w:rsidR="00C3045C" w:rsidRPr="00B31A73">
        <w:rPr>
          <w:b/>
        </w:rPr>
        <w:t>Recent P</w:t>
      </w:r>
      <w:r w:rsidRPr="00B31A73">
        <w:rPr>
          <w:b/>
        </w:rPr>
        <w:t>ast</w:t>
      </w:r>
    </w:p>
    <w:p w14:paraId="21AE372C" w14:textId="77777777" w:rsidR="00FB44A5" w:rsidRDefault="00905F11" w:rsidP="00815A39">
      <w:pPr>
        <w:spacing w:after="120"/>
      </w:pPr>
      <w:r w:rsidRPr="00B31A73">
        <w:t>Many of us have grown up during an extraordinary age for financial assets.  Interest rates have dropped from 15% in the early 1980’s to less than 2%</w:t>
      </w:r>
      <w:r w:rsidR="00F5338A" w:rsidRPr="00B31A73">
        <w:t xml:space="preserve"> in recent years</w:t>
      </w:r>
      <w:r w:rsidRPr="00B31A73">
        <w:t xml:space="preserve">.  The Shiller CAPE metric has </w:t>
      </w:r>
      <w:r w:rsidR="00AC576F" w:rsidRPr="00B31A73">
        <w:t>increased from a</w:t>
      </w:r>
      <w:r w:rsidR="00F5338A" w:rsidRPr="00B31A73">
        <w:t>pproximately</w:t>
      </w:r>
      <w:r w:rsidR="00AC576F" w:rsidRPr="00B31A73">
        <w:t xml:space="preserve"> </w:t>
      </w:r>
      <w:r w:rsidR="00F5338A" w:rsidRPr="00B31A73">
        <w:t>7.4 at the beginning of</w:t>
      </w:r>
      <w:r w:rsidR="00AC576F" w:rsidRPr="00B31A73">
        <w:t xml:space="preserve"> 1982 to 33</w:t>
      </w:r>
      <w:r w:rsidR="00F5338A" w:rsidRPr="00B31A73">
        <w:t>.3</w:t>
      </w:r>
      <w:r w:rsidR="00AC576F" w:rsidRPr="00B31A73">
        <w:t xml:space="preserve"> </w:t>
      </w:r>
      <w:r w:rsidR="00F5338A" w:rsidRPr="00B31A73">
        <w:t>at the beginning of 2018</w:t>
      </w:r>
      <w:r w:rsidR="00C3045C" w:rsidRPr="00B31A73">
        <w:t xml:space="preserve"> – a period during which the S&amp;P 500 returned 12.0% annually</w:t>
      </w:r>
      <w:r w:rsidR="00AC576F" w:rsidRPr="00B31A73">
        <w:t>.  Th</w:t>
      </w:r>
      <w:r w:rsidR="00C3045C" w:rsidRPr="00B31A73">
        <w:t>e</w:t>
      </w:r>
      <w:r w:rsidR="00AC576F" w:rsidRPr="00B31A73">
        <w:t xml:space="preserve"> increase in equity prices added over 400 bps </w:t>
      </w:r>
      <w:r w:rsidR="00F5338A" w:rsidRPr="00B31A73">
        <w:t xml:space="preserve">[(33.3/7.4) ^ (1/36) = 4.27%] </w:t>
      </w:r>
      <w:r w:rsidR="00AC576F" w:rsidRPr="00B31A73">
        <w:t>of return annually for equities during this 3</w:t>
      </w:r>
      <w:r w:rsidR="00F5338A" w:rsidRPr="00B31A73">
        <w:t>6</w:t>
      </w:r>
      <w:r w:rsidR="00AC576F" w:rsidRPr="00B31A73">
        <w:t xml:space="preserve">-year period.  </w:t>
      </w:r>
      <w:r w:rsidR="00F5338A" w:rsidRPr="00B31A73">
        <w:t>An interesting</w:t>
      </w:r>
      <w:r w:rsidR="00AC576F" w:rsidRPr="00B31A73">
        <w:t xml:space="preserve"> question</w:t>
      </w:r>
      <w:r w:rsidR="00F5338A" w:rsidRPr="00B31A73">
        <w:t xml:space="preserve"> arises about</w:t>
      </w:r>
      <w:r w:rsidR="00AC576F" w:rsidRPr="00B31A73">
        <w:t xml:space="preserve"> how much of that past return boost was due to interest rates and how much was due to a change in market sentiment.  </w:t>
      </w:r>
    </w:p>
    <w:p w14:paraId="3DD25E87" w14:textId="0967A476" w:rsidR="00603FAD" w:rsidRPr="00B31A73" w:rsidRDefault="00AC576F" w:rsidP="00815A39">
      <w:pPr>
        <w:spacing w:after="120"/>
      </w:pPr>
      <w:r w:rsidRPr="00B31A73">
        <w:t xml:space="preserve">The ERS metric provides insight into this question.  Because ERS </w:t>
      </w:r>
      <w:r w:rsidR="00FB44A5">
        <w:t>was</w:t>
      </w:r>
      <w:r w:rsidRPr="00B31A73">
        <w:t xml:space="preserve"> actually lower</w:t>
      </w:r>
      <w:r w:rsidR="00FB44A5">
        <w:t xml:space="preserve"> at the beginning of 2018</w:t>
      </w:r>
      <w:r w:rsidRPr="00B31A73">
        <w:t xml:space="preserve"> than it was in </w:t>
      </w:r>
      <w:r w:rsidR="00F5338A" w:rsidRPr="00B31A73">
        <w:t>1982,</w:t>
      </w:r>
      <w:r w:rsidRPr="00B31A73">
        <w:t xml:space="preserve"> we can attribute all of the 400</w:t>
      </w:r>
      <w:r w:rsidR="00AA1FDB">
        <w:t>+</w:t>
      </w:r>
      <w:r w:rsidRPr="00B31A73">
        <w:t xml:space="preserve"> bps and more to the change in rates.  Given that current ERS </w:t>
      </w:r>
      <w:r w:rsidR="00FB44A5">
        <w:t xml:space="preserve">is </w:t>
      </w:r>
      <w:r w:rsidRPr="00B31A73">
        <w:t>positive</w:t>
      </w:r>
      <w:r w:rsidR="00F5338A" w:rsidRPr="00B31A73">
        <w:t xml:space="preserve"> and interest rates </w:t>
      </w:r>
      <w:r w:rsidR="00FB44A5">
        <w:t>may not</w:t>
      </w:r>
      <w:r w:rsidR="00F5338A" w:rsidRPr="00B31A73">
        <w:t xml:space="preserve"> fall much below early 2018 levels</w:t>
      </w:r>
      <w:r w:rsidRPr="00B31A73">
        <w:t>, future equity returns seem destined to be at least 400 bps lower than returns over the last 3</w:t>
      </w:r>
      <w:r w:rsidR="00F5338A" w:rsidRPr="00B31A73">
        <w:t>6</w:t>
      </w:r>
      <w:r w:rsidRPr="00B31A73">
        <w:t xml:space="preserve"> years.</w:t>
      </w:r>
    </w:p>
    <w:p w14:paraId="109AA50F" w14:textId="7D944BF1" w:rsidR="00347CC9" w:rsidRPr="00B31A73" w:rsidRDefault="00347CC9" w:rsidP="00815A39">
      <w:pPr>
        <w:spacing w:after="120"/>
      </w:pPr>
      <w:r w:rsidRPr="00B31A73">
        <w:t xml:space="preserve">Imagine how much clearer the picture of the future would have been for an investor in 1982 if they had had the insights we have now from CAPE and ERS. </w:t>
      </w:r>
      <w:r w:rsidR="00AA1FDB">
        <w:t xml:space="preserve"> Using data available at that time</w:t>
      </w:r>
      <w:r w:rsidR="00DA0646">
        <w:t xml:space="preserve"> and the ERS metric calculated based on that data, we would have predicted that the annualized return for the next 20 years would be 15.8%.  The actual annualized return for the next 20 years was 15.3%.  </w:t>
      </w:r>
      <w:r w:rsidRPr="00B31A73">
        <w:t xml:space="preserve">The bull market of the 1980’s and 1990’s would have been largely predictable.  The same is true of other periods of equity market history.  Today, we see that increases </w:t>
      </w:r>
      <w:r w:rsidR="00C3045C" w:rsidRPr="00B31A73">
        <w:t>in historically low interest</w:t>
      </w:r>
      <w:r w:rsidRPr="00B31A73">
        <w:t xml:space="preserve"> rates are likely to reduce equity prices and future returns</w:t>
      </w:r>
      <w:r w:rsidR="00C3045C" w:rsidRPr="00B31A73">
        <w:t xml:space="preserve">.  However, </w:t>
      </w:r>
      <w:r w:rsidR="00C3045C" w:rsidRPr="00B31A73">
        <w:lastRenderedPageBreak/>
        <w:t xml:space="preserve">using ERS, we also understand the extent to which the market can be labeled as </w:t>
      </w:r>
      <w:r w:rsidRPr="00B31A73">
        <w:t>“overvalued”</w:t>
      </w:r>
      <w:r w:rsidR="00C3045C" w:rsidRPr="00B31A73">
        <w:t xml:space="preserve"> in today’s environment</w:t>
      </w:r>
      <w:r w:rsidRPr="00B31A73">
        <w:t>.</w:t>
      </w:r>
    </w:p>
    <w:p w14:paraId="6AE45B4F" w14:textId="6F367456" w:rsidR="00C3045C" w:rsidRPr="00B31A73" w:rsidRDefault="00C3045C" w:rsidP="00815A39">
      <w:pPr>
        <w:spacing w:after="120"/>
        <w:rPr>
          <w:b/>
        </w:rPr>
      </w:pPr>
      <w:r w:rsidRPr="00B31A73">
        <w:rPr>
          <w:b/>
        </w:rPr>
        <w:t>Conclusion</w:t>
      </w:r>
    </w:p>
    <w:p w14:paraId="38B157E8" w14:textId="1DB21249" w:rsidR="008740E0" w:rsidRDefault="00C3045C" w:rsidP="00815A39">
      <w:pPr>
        <w:spacing w:after="120"/>
      </w:pPr>
      <w:r w:rsidRPr="00B31A73">
        <w:t>A risk sentiment metric is intuitively appealing since it allows investors and analysts to focus separately on two concepts which both impact asset prices through the discount rate, but in different ways.  A simple sentiment metric is easily c</w:t>
      </w:r>
      <w:r w:rsidR="00E0342C">
        <w:t>alculated</w:t>
      </w:r>
      <w:r w:rsidRPr="00B31A73">
        <w:t xml:space="preserve"> for equities </w:t>
      </w:r>
      <w:r w:rsidR="008740E0">
        <w:t xml:space="preserve">and </w:t>
      </w:r>
      <w:r w:rsidRPr="00B31A73">
        <w:t xml:space="preserve">it has a strong relationship to future </w:t>
      </w:r>
      <w:r w:rsidR="00FB44A5">
        <w:t xml:space="preserve">excess </w:t>
      </w:r>
      <w:r w:rsidRPr="00B31A73">
        <w:t>returns</w:t>
      </w:r>
      <w:r w:rsidR="00FB44A5">
        <w:t xml:space="preserve"> over bonds and to nominal returns</w:t>
      </w:r>
      <w:r w:rsidRPr="00B31A73">
        <w:t xml:space="preserve">. </w:t>
      </w:r>
      <w:r w:rsidR="008740E0">
        <w:t xml:space="preserve"> The connection to future returns is strong partly because risk sentiment is a price-type metric which captures the impact of duration. </w:t>
      </w:r>
      <w:r w:rsidRPr="00B31A73">
        <w:t xml:space="preserve"> In addition, the equity sentiment metric is strongly correlated with the same metric for corporate bonds, which </w:t>
      </w:r>
      <w:r w:rsidR="00E0342C">
        <w:t>will</w:t>
      </w:r>
      <w:r w:rsidRPr="00B31A73">
        <w:t xml:space="preserve"> also have a strong relationship with future returns</w:t>
      </w:r>
      <w:r w:rsidR="00E0342C">
        <w:t xml:space="preserve"> for bonds</w:t>
      </w:r>
      <w:r w:rsidRPr="00B31A73">
        <w:t xml:space="preserve">.  </w:t>
      </w:r>
    </w:p>
    <w:p w14:paraId="5BA92672" w14:textId="24F83811" w:rsidR="008740E0" w:rsidRDefault="008740E0" w:rsidP="00815A39">
      <w:pPr>
        <w:spacing w:after="120"/>
      </w:pPr>
      <w:r>
        <w:t xml:space="preserve">Capital markets modeling </w:t>
      </w:r>
      <w:r w:rsidR="00C91619">
        <w:t>could potentially</w:t>
      </w:r>
      <w:r>
        <w:t xml:space="preserve"> be improved by </w:t>
      </w:r>
      <w:r w:rsidR="000433BD">
        <w:t xml:space="preserve">using a model focusing on price changes rather than returns.  The focus on price would encourage </w:t>
      </w:r>
      <w:r>
        <w:t>explicitly incorporating the impact of interest</w:t>
      </w:r>
      <w:r w:rsidR="000433BD">
        <w:t xml:space="preserve"> rates on asset prices which is not typical practice currently.  Distinguishing the impact of interest rates and market sentiment presents some challenges, but also the potential for clear results more directly connected to fundamental aspects of the financial markets.</w:t>
      </w:r>
    </w:p>
    <w:p w14:paraId="0A090F2A" w14:textId="0B83BD97" w:rsidR="00914DE9" w:rsidRDefault="00914DE9" w:rsidP="00815A39">
      <w:pPr>
        <w:spacing w:after="120"/>
      </w:pPr>
      <w:r>
        <w:t xml:space="preserve">The </w:t>
      </w:r>
      <w:r w:rsidR="00C3045C" w:rsidRPr="00B31A73">
        <w:t xml:space="preserve">equity risk sentiment metric opens up potential for better forecasting, </w:t>
      </w:r>
      <w:r w:rsidR="00E0342C">
        <w:t xml:space="preserve">useful </w:t>
      </w:r>
      <w:r w:rsidR="00C3045C" w:rsidRPr="00B31A73">
        <w:t xml:space="preserve">estimates of the equity risk premium, and improvement in capital markets modeling. </w:t>
      </w:r>
      <w:r>
        <w:t xml:space="preserve"> All of this can enable better planning and portfolio construction by investors. </w:t>
      </w:r>
      <w:r w:rsidR="00C3045C" w:rsidRPr="00B31A73">
        <w:t xml:space="preserve"> </w:t>
      </w:r>
    </w:p>
    <w:p w14:paraId="27908B23" w14:textId="75AC6DF1" w:rsidR="00C3045C" w:rsidRPr="00B31A73" w:rsidRDefault="00C3045C" w:rsidP="00815A39">
      <w:pPr>
        <w:spacing w:after="120"/>
      </w:pPr>
      <w:r w:rsidRPr="00B31A73">
        <w:t>There is much that can still be explored with this metric and some ideas</w:t>
      </w:r>
      <w:r w:rsidR="00FB44A5">
        <w:t xml:space="preserve"> for future research</w:t>
      </w:r>
      <w:r w:rsidRPr="00B31A73">
        <w:t xml:space="preserve"> a</w:t>
      </w:r>
      <w:r w:rsidR="00914DE9">
        <w:t>re</w:t>
      </w:r>
      <w:r w:rsidRPr="00B31A73">
        <w:t xml:space="preserve"> shown below.</w:t>
      </w:r>
    </w:p>
    <w:p w14:paraId="30343D1D" w14:textId="2589B340" w:rsidR="00603FAD" w:rsidRPr="00914DE9" w:rsidRDefault="00F5338A" w:rsidP="00914DE9">
      <w:pPr>
        <w:pStyle w:val="ListParagraph"/>
        <w:numPr>
          <w:ilvl w:val="0"/>
          <w:numId w:val="3"/>
        </w:numPr>
        <w:rPr>
          <w:rFonts w:ascii="Times New Roman" w:hAnsi="Times New Roman" w:cs="Times New Roman"/>
          <w:sz w:val="24"/>
          <w:szCs w:val="24"/>
        </w:rPr>
      </w:pPr>
      <w:r w:rsidRPr="00B31A73">
        <w:rPr>
          <w:rFonts w:ascii="Times New Roman" w:hAnsi="Times New Roman" w:cs="Times New Roman"/>
          <w:sz w:val="24"/>
          <w:szCs w:val="24"/>
        </w:rPr>
        <w:t xml:space="preserve">Can other interest rates such as swap rates or other Treasury maturities provide similar or better results than the relationship to 10-year Treasuries? </w:t>
      </w:r>
    </w:p>
    <w:p w14:paraId="5F113F6C" w14:textId="1A05ACCB" w:rsidR="002B6B1C" w:rsidRDefault="00914DE9" w:rsidP="00603FA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a</w:t>
      </w:r>
      <w:r w:rsidR="002B6B1C" w:rsidRPr="00B31A73">
        <w:rPr>
          <w:rFonts w:ascii="Times New Roman" w:hAnsi="Times New Roman" w:cs="Times New Roman"/>
          <w:sz w:val="24"/>
          <w:szCs w:val="24"/>
        </w:rPr>
        <w:t>djustments</w:t>
      </w:r>
      <w:r>
        <w:rPr>
          <w:rFonts w:ascii="Times New Roman" w:hAnsi="Times New Roman" w:cs="Times New Roman"/>
          <w:sz w:val="24"/>
          <w:szCs w:val="24"/>
        </w:rPr>
        <w:t xml:space="preserve"> </w:t>
      </w:r>
      <w:r w:rsidR="000B3589">
        <w:rPr>
          <w:rFonts w:ascii="Times New Roman" w:hAnsi="Times New Roman" w:cs="Times New Roman"/>
          <w:sz w:val="24"/>
          <w:szCs w:val="24"/>
        </w:rPr>
        <w:t>sh</w:t>
      </w:r>
      <w:r>
        <w:rPr>
          <w:rFonts w:ascii="Times New Roman" w:hAnsi="Times New Roman" w:cs="Times New Roman"/>
          <w:sz w:val="24"/>
          <w:szCs w:val="24"/>
        </w:rPr>
        <w:t>ould be made</w:t>
      </w:r>
      <w:r w:rsidR="002B6B1C" w:rsidRPr="00B31A73">
        <w:rPr>
          <w:rFonts w:ascii="Times New Roman" w:hAnsi="Times New Roman" w:cs="Times New Roman"/>
          <w:sz w:val="24"/>
          <w:szCs w:val="24"/>
        </w:rPr>
        <w:t xml:space="preserve"> for very low</w:t>
      </w:r>
      <w:r w:rsidR="00EC4938" w:rsidRPr="00B31A73">
        <w:rPr>
          <w:rFonts w:ascii="Times New Roman" w:hAnsi="Times New Roman" w:cs="Times New Roman"/>
          <w:sz w:val="24"/>
          <w:szCs w:val="24"/>
        </w:rPr>
        <w:t xml:space="preserve"> or negative</w:t>
      </w:r>
      <w:r w:rsidR="002B6B1C" w:rsidRPr="00B31A73">
        <w:rPr>
          <w:rFonts w:ascii="Times New Roman" w:hAnsi="Times New Roman" w:cs="Times New Roman"/>
          <w:sz w:val="24"/>
          <w:szCs w:val="24"/>
        </w:rPr>
        <w:t xml:space="preserve"> interest rates</w:t>
      </w:r>
      <w:r w:rsidR="000B3589">
        <w:rPr>
          <w:rFonts w:ascii="Times New Roman" w:hAnsi="Times New Roman" w:cs="Times New Roman"/>
          <w:sz w:val="24"/>
          <w:szCs w:val="24"/>
        </w:rPr>
        <w:t>, when the term 1/</w:t>
      </w:r>
      <w:proofErr w:type="spellStart"/>
      <w:r w:rsidR="000B3589">
        <w:rPr>
          <w:rFonts w:ascii="Times New Roman" w:hAnsi="Times New Roman" w:cs="Times New Roman"/>
          <w:sz w:val="24"/>
          <w:szCs w:val="24"/>
        </w:rPr>
        <w:t>r</w:t>
      </w:r>
      <w:r w:rsidR="000B3589" w:rsidRPr="000B3589">
        <w:rPr>
          <w:rFonts w:ascii="Times New Roman" w:hAnsi="Times New Roman" w:cs="Times New Roman"/>
          <w:sz w:val="24"/>
          <w:szCs w:val="24"/>
          <w:vertAlign w:val="subscript"/>
        </w:rPr>
        <w:t>rf</w:t>
      </w:r>
      <w:proofErr w:type="spellEnd"/>
      <w:r w:rsidR="000B3589">
        <w:rPr>
          <w:rFonts w:ascii="Times New Roman" w:hAnsi="Times New Roman" w:cs="Times New Roman"/>
          <w:sz w:val="24"/>
          <w:szCs w:val="24"/>
          <w:vertAlign w:val="subscript"/>
        </w:rPr>
        <w:t xml:space="preserve"> </w:t>
      </w:r>
      <w:r w:rsidR="000B3589">
        <w:rPr>
          <w:rFonts w:ascii="Times New Roman" w:hAnsi="Times New Roman" w:cs="Times New Roman"/>
          <w:sz w:val="24"/>
          <w:szCs w:val="24"/>
        </w:rPr>
        <w:t>is very large?</w:t>
      </w:r>
    </w:p>
    <w:p w14:paraId="66C2BA8A" w14:textId="0BBD7AB3" w:rsidR="009A79BB" w:rsidRPr="00B31A73" w:rsidRDefault="009A79BB" w:rsidP="00603FA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Is there an adaptation of the ERS metric that can be useful for forecasting real returns?</w:t>
      </w:r>
    </w:p>
    <w:p w14:paraId="7B81316A" w14:textId="4E4C62D6" w:rsidR="00905F11" w:rsidRPr="00B31A73" w:rsidRDefault="00F5338A" w:rsidP="00603FAD">
      <w:pPr>
        <w:pStyle w:val="ListParagraph"/>
        <w:numPr>
          <w:ilvl w:val="0"/>
          <w:numId w:val="3"/>
        </w:numPr>
        <w:rPr>
          <w:rFonts w:ascii="Times New Roman" w:hAnsi="Times New Roman" w:cs="Times New Roman"/>
          <w:sz w:val="24"/>
          <w:szCs w:val="24"/>
        </w:rPr>
      </w:pPr>
      <w:r w:rsidRPr="00B31A73">
        <w:rPr>
          <w:rFonts w:ascii="Times New Roman" w:hAnsi="Times New Roman" w:cs="Times New Roman"/>
          <w:sz w:val="24"/>
          <w:szCs w:val="24"/>
        </w:rPr>
        <w:t>Can separating the impact of risk sentiment from the impact of interest rates help to determine duration for equities?</w:t>
      </w:r>
    </w:p>
    <w:p w14:paraId="037A18A7" w14:textId="4C4285E5" w:rsidR="004B1B2F" w:rsidRPr="00B31A73" w:rsidRDefault="00F5338A" w:rsidP="004B1B2F">
      <w:pPr>
        <w:pStyle w:val="ListParagraph"/>
        <w:numPr>
          <w:ilvl w:val="0"/>
          <w:numId w:val="3"/>
        </w:numPr>
        <w:rPr>
          <w:rFonts w:ascii="Times New Roman" w:hAnsi="Times New Roman" w:cs="Times New Roman"/>
          <w:sz w:val="24"/>
          <w:szCs w:val="24"/>
        </w:rPr>
      </w:pPr>
      <w:r w:rsidRPr="00B31A73">
        <w:rPr>
          <w:rFonts w:ascii="Times New Roman" w:hAnsi="Times New Roman" w:cs="Times New Roman"/>
          <w:sz w:val="24"/>
          <w:szCs w:val="24"/>
        </w:rPr>
        <w:t>Can results be improved by focusing on real returns and interest rates?</w:t>
      </w:r>
    </w:p>
    <w:p w14:paraId="01D63A72" w14:textId="30164900" w:rsidR="00DF2A77" w:rsidRPr="00B31A73" w:rsidRDefault="00F5338A" w:rsidP="00603FAD">
      <w:pPr>
        <w:pStyle w:val="ListParagraph"/>
        <w:numPr>
          <w:ilvl w:val="0"/>
          <w:numId w:val="3"/>
        </w:numPr>
        <w:rPr>
          <w:rFonts w:ascii="Times New Roman" w:hAnsi="Times New Roman" w:cs="Times New Roman"/>
          <w:sz w:val="24"/>
          <w:szCs w:val="24"/>
        </w:rPr>
      </w:pPr>
      <w:r w:rsidRPr="00B31A73">
        <w:rPr>
          <w:rFonts w:ascii="Times New Roman" w:hAnsi="Times New Roman" w:cs="Times New Roman"/>
          <w:sz w:val="24"/>
          <w:szCs w:val="24"/>
        </w:rPr>
        <w:t>Can results be improved with v</w:t>
      </w:r>
      <w:r w:rsidR="00DF2A77" w:rsidRPr="00B31A73">
        <w:rPr>
          <w:rFonts w:ascii="Times New Roman" w:hAnsi="Times New Roman" w:cs="Times New Roman"/>
          <w:sz w:val="24"/>
          <w:szCs w:val="24"/>
        </w:rPr>
        <w:t>ariations on CAPE such as total return CAPE</w:t>
      </w:r>
      <w:r w:rsidRPr="00B31A73">
        <w:rPr>
          <w:rFonts w:ascii="Times New Roman" w:hAnsi="Times New Roman" w:cs="Times New Roman"/>
          <w:sz w:val="24"/>
          <w:szCs w:val="24"/>
        </w:rPr>
        <w:t>?</w:t>
      </w:r>
    </w:p>
    <w:p w14:paraId="269DCD24" w14:textId="5D41603F" w:rsidR="00905F11" w:rsidRPr="00B31A73" w:rsidRDefault="00F5338A" w:rsidP="00603FAD">
      <w:pPr>
        <w:pStyle w:val="ListParagraph"/>
        <w:numPr>
          <w:ilvl w:val="0"/>
          <w:numId w:val="3"/>
        </w:numPr>
        <w:rPr>
          <w:rFonts w:ascii="Times New Roman" w:hAnsi="Times New Roman" w:cs="Times New Roman"/>
          <w:sz w:val="24"/>
          <w:szCs w:val="24"/>
        </w:rPr>
      </w:pPr>
      <w:r w:rsidRPr="00B31A73">
        <w:rPr>
          <w:rFonts w:ascii="Times New Roman" w:hAnsi="Times New Roman" w:cs="Times New Roman"/>
          <w:sz w:val="24"/>
          <w:szCs w:val="24"/>
        </w:rPr>
        <w:t xml:space="preserve">What are the autoregressive characteristics of the sentiment metric – e.g. </w:t>
      </w:r>
      <w:r w:rsidR="00057AE3" w:rsidRPr="00B31A73">
        <w:rPr>
          <w:rFonts w:ascii="Times New Roman" w:hAnsi="Times New Roman" w:cs="Times New Roman"/>
          <w:sz w:val="24"/>
          <w:szCs w:val="24"/>
        </w:rPr>
        <w:t>mean reversion</w:t>
      </w:r>
      <w:r w:rsidRPr="00B31A73">
        <w:rPr>
          <w:rFonts w:ascii="Times New Roman" w:hAnsi="Times New Roman" w:cs="Times New Roman"/>
          <w:sz w:val="24"/>
          <w:szCs w:val="24"/>
        </w:rPr>
        <w:t>?</w:t>
      </w:r>
    </w:p>
    <w:p w14:paraId="6843E108" w14:textId="4A9FB67C" w:rsidR="00603FAD" w:rsidRPr="00B31A73" w:rsidRDefault="00F5338A" w:rsidP="00603FAD">
      <w:pPr>
        <w:pStyle w:val="ListParagraph"/>
        <w:numPr>
          <w:ilvl w:val="0"/>
          <w:numId w:val="3"/>
        </w:numPr>
        <w:rPr>
          <w:rFonts w:ascii="Times New Roman" w:hAnsi="Times New Roman" w:cs="Times New Roman"/>
          <w:sz w:val="24"/>
          <w:szCs w:val="24"/>
        </w:rPr>
      </w:pPr>
      <w:r w:rsidRPr="00B31A73">
        <w:rPr>
          <w:rFonts w:ascii="Times New Roman" w:hAnsi="Times New Roman" w:cs="Times New Roman"/>
          <w:sz w:val="24"/>
          <w:szCs w:val="24"/>
        </w:rPr>
        <w:t>Does sentiment provide useful information in markets in other countries or in sub</w:t>
      </w:r>
      <w:r w:rsidR="00FB44A5">
        <w:rPr>
          <w:rFonts w:ascii="Times New Roman" w:hAnsi="Times New Roman" w:cs="Times New Roman"/>
          <w:sz w:val="24"/>
          <w:szCs w:val="24"/>
        </w:rPr>
        <w:t>-</w:t>
      </w:r>
      <w:r w:rsidRPr="00B31A73">
        <w:rPr>
          <w:rFonts w:ascii="Times New Roman" w:hAnsi="Times New Roman" w:cs="Times New Roman"/>
          <w:sz w:val="24"/>
          <w:szCs w:val="24"/>
        </w:rPr>
        <w:t>asset classes like small cap or value indices?</w:t>
      </w:r>
    </w:p>
    <w:p w14:paraId="27607D4B" w14:textId="290BFA98" w:rsidR="00EC4938" w:rsidRPr="00B31A73" w:rsidRDefault="00EC4938" w:rsidP="00603FAD">
      <w:pPr>
        <w:pStyle w:val="ListParagraph"/>
        <w:numPr>
          <w:ilvl w:val="0"/>
          <w:numId w:val="3"/>
        </w:numPr>
        <w:rPr>
          <w:rFonts w:ascii="Times New Roman" w:hAnsi="Times New Roman" w:cs="Times New Roman"/>
          <w:sz w:val="24"/>
          <w:szCs w:val="24"/>
        </w:rPr>
      </w:pPr>
      <w:r w:rsidRPr="00B31A73">
        <w:rPr>
          <w:rFonts w:ascii="Times New Roman" w:hAnsi="Times New Roman" w:cs="Times New Roman"/>
          <w:sz w:val="24"/>
          <w:szCs w:val="24"/>
        </w:rPr>
        <w:t xml:space="preserve">Is there a connection between the risk sentiment metric and surveys on investor confidence and </w:t>
      </w:r>
      <w:proofErr w:type="gramStart"/>
      <w:r w:rsidRPr="00B31A73">
        <w:rPr>
          <w:rFonts w:ascii="Times New Roman" w:hAnsi="Times New Roman" w:cs="Times New Roman"/>
          <w:sz w:val="24"/>
          <w:szCs w:val="24"/>
        </w:rPr>
        <w:t>sentiment.</w:t>
      </w:r>
      <w:proofErr w:type="gramEnd"/>
    </w:p>
    <w:p w14:paraId="6B3CB06B" w14:textId="75B87703" w:rsidR="003558DA" w:rsidRPr="00B31A73" w:rsidRDefault="00EE139E" w:rsidP="00603FA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Could s</w:t>
      </w:r>
      <w:r w:rsidR="003558DA" w:rsidRPr="00B31A73">
        <w:rPr>
          <w:rFonts w:ascii="Times New Roman" w:hAnsi="Times New Roman" w:cs="Times New Roman"/>
          <w:sz w:val="24"/>
          <w:szCs w:val="24"/>
        </w:rPr>
        <w:t xml:space="preserve">entiment </w:t>
      </w:r>
      <w:r>
        <w:rPr>
          <w:rFonts w:ascii="Times New Roman" w:hAnsi="Times New Roman" w:cs="Times New Roman"/>
          <w:sz w:val="24"/>
          <w:szCs w:val="24"/>
        </w:rPr>
        <w:t xml:space="preserve">be used </w:t>
      </w:r>
      <w:r w:rsidR="003558DA" w:rsidRPr="00B31A73">
        <w:rPr>
          <w:rFonts w:ascii="Times New Roman" w:hAnsi="Times New Roman" w:cs="Times New Roman"/>
          <w:sz w:val="24"/>
          <w:szCs w:val="24"/>
        </w:rPr>
        <w:t>as a</w:t>
      </w:r>
      <w:r>
        <w:rPr>
          <w:rFonts w:ascii="Times New Roman" w:hAnsi="Times New Roman" w:cs="Times New Roman"/>
          <w:sz w:val="24"/>
          <w:szCs w:val="24"/>
        </w:rPr>
        <w:t xml:space="preserve">n effective </w:t>
      </w:r>
      <w:r w:rsidR="003558DA" w:rsidRPr="00B31A73">
        <w:rPr>
          <w:rFonts w:ascii="Times New Roman" w:hAnsi="Times New Roman" w:cs="Times New Roman"/>
          <w:sz w:val="24"/>
          <w:szCs w:val="24"/>
        </w:rPr>
        <w:t>tactical allocation signal for relative weighting amongst asset classes.</w:t>
      </w:r>
    </w:p>
    <w:p w14:paraId="0FDAA81B" w14:textId="7DA3C0C8" w:rsidR="00667475" w:rsidRPr="00B31A73" w:rsidRDefault="00667475">
      <w:r w:rsidRPr="00B31A73">
        <w:br w:type="page"/>
      </w:r>
    </w:p>
    <w:p w14:paraId="526FCE54" w14:textId="0EA0328C" w:rsidR="00A02C70" w:rsidRPr="00B31A73" w:rsidRDefault="00A02C70" w:rsidP="00683104">
      <w:pPr>
        <w:rPr>
          <w:b/>
        </w:rPr>
      </w:pPr>
      <w:r w:rsidRPr="00B31A73">
        <w:rPr>
          <w:b/>
        </w:rPr>
        <w:lastRenderedPageBreak/>
        <w:t>NOTES ON DATA and MET</w:t>
      </w:r>
      <w:r w:rsidR="00552AC6" w:rsidRPr="00B31A73">
        <w:rPr>
          <w:b/>
        </w:rPr>
        <w:t>H</w:t>
      </w:r>
      <w:r w:rsidRPr="00B31A73">
        <w:rPr>
          <w:b/>
        </w:rPr>
        <w:t>ODOLOGY</w:t>
      </w:r>
    </w:p>
    <w:p w14:paraId="5A79DED6" w14:textId="13259F25" w:rsidR="00CA6307" w:rsidRPr="003F51D6" w:rsidRDefault="00CA6307" w:rsidP="003F51D6">
      <w:pPr>
        <w:pStyle w:val="ListParagraph"/>
        <w:numPr>
          <w:ilvl w:val="0"/>
          <w:numId w:val="14"/>
        </w:numPr>
        <w:rPr>
          <w:rFonts w:ascii="Times New Roman" w:hAnsi="Times New Roman" w:cs="Times New Roman"/>
          <w:sz w:val="24"/>
          <w:szCs w:val="24"/>
        </w:rPr>
      </w:pPr>
      <w:r w:rsidRPr="003F51D6">
        <w:rPr>
          <w:rFonts w:ascii="Times New Roman" w:hAnsi="Times New Roman" w:cs="Times New Roman"/>
          <w:sz w:val="24"/>
          <w:szCs w:val="24"/>
        </w:rPr>
        <w:t xml:space="preserve">Data from Robert Shiller at </w:t>
      </w:r>
      <w:hyperlink r:id="rId8" w:history="1">
        <w:r w:rsidRPr="003F51D6">
          <w:rPr>
            <w:rStyle w:val="Hyperlink"/>
            <w:rFonts w:ascii="Times New Roman" w:hAnsi="Times New Roman" w:cs="Times New Roman"/>
            <w:sz w:val="24"/>
            <w:szCs w:val="24"/>
          </w:rPr>
          <w:t>http://www.econ.yale.edu/~shiller/data.htm</w:t>
        </w:r>
      </w:hyperlink>
    </w:p>
    <w:p w14:paraId="7CAEC7DB" w14:textId="41E91E92" w:rsidR="00CA6307" w:rsidRPr="00B31A73" w:rsidRDefault="00CA6307" w:rsidP="00CA6307">
      <w:pPr>
        <w:pStyle w:val="ListParagraph"/>
        <w:numPr>
          <w:ilvl w:val="0"/>
          <w:numId w:val="11"/>
        </w:numPr>
        <w:rPr>
          <w:rFonts w:ascii="Times New Roman" w:hAnsi="Times New Roman" w:cs="Times New Roman"/>
          <w:sz w:val="24"/>
          <w:szCs w:val="24"/>
        </w:rPr>
      </w:pPr>
      <w:r w:rsidRPr="00B31A73">
        <w:rPr>
          <w:rFonts w:ascii="Times New Roman" w:hAnsi="Times New Roman" w:cs="Times New Roman"/>
          <w:sz w:val="24"/>
          <w:szCs w:val="24"/>
        </w:rPr>
        <w:t xml:space="preserve">Equity price and Treasury yield data are averages for each month, such that the annual information in this </w:t>
      </w:r>
      <w:r w:rsidR="008740E0">
        <w:rPr>
          <w:rFonts w:ascii="Times New Roman" w:hAnsi="Times New Roman" w:cs="Times New Roman"/>
          <w:sz w:val="24"/>
          <w:szCs w:val="24"/>
        </w:rPr>
        <w:t>article</w:t>
      </w:r>
      <w:r w:rsidRPr="00B31A73">
        <w:rPr>
          <w:rFonts w:ascii="Times New Roman" w:hAnsi="Times New Roman" w:cs="Times New Roman"/>
          <w:sz w:val="24"/>
          <w:szCs w:val="24"/>
        </w:rPr>
        <w:t xml:space="preserve"> is based on developments from January</w:t>
      </w:r>
      <w:r w:rsidR="00FB44A5">
        <w:rPr>
          <w:rFonts w:ascii="Times New Roman" w:hAnsi="Times New Roman" w:cs="Times New Roman"/>
          <w:sz w:val="24"/>
          <w:szCs w:val="24"/>
        </w:rPr>
        <w:t xml:space="preserve"> averages</w:t>
      </w:r>
      <w:r w:rsidRPr="00B31A73">
        <w:rPr>
          <w:rFonts w:ascii="Times New Roman" w:hAnsi="Times New Roman" w:cs="Times New Roman"/>
          <w:sz w:val="24"/>
          <w:szCs w:val="24"/>
        </w:rPr>
        <w:t xml:space="preserve"> in one year to January </w:t>
      </w:r>
      <w:r w:rsidR="00FB44A5">
        <w:rPr>
          <w:rFonts w:ascii="Times New Roman" w:hAnsi="Times New Roman" w:cs="Times New Roman"/>
          <w:sz w:val="24"/>
          <w:szCs w:val="24"/>
        </w:rPr>
        <w:t xml:space="preserve">averages </w:t>
      </w:r>
      <w:r w:rsidRPr="00B31A73">
        <w:rPr>
          <w:rFonts w:ascii="Times New Roman" w:hAnsi="Times New Roman" w:cs="Times New Roman"/>
          <w:sz w:val="24"/>
          <w:szCs w:val="24"/>
        </w:rPr>
        <w:t>in the next year.</w:t>
      </w:r>
    </w:p>
    <w:p w14:paraId="179D44BF" w14:textId="7F4EE040" w:rsidR="00EC4938" w:rsidRPr="00B31A73" w:rsidRDefault="00EC4938" w:rsidP="00EC4938">
      <w:pPr>
        <w:pStyle w:val="ListParagraph"/>
        <w:numPr>
          <w:ilvl w:val="1"/>
          <w:numId w:val="11"/>
        </w:numPr>
        <w:rPr>
          <w:rFonts w:ascii="Times New Roman" w:hAnsi="Times New Roman" w:cs="Times New Roman"/>
          <w:sz w:val="24"/>
          <w:szCs w:val="24"/>
        </w:rPr>
      </w:pPr>
      <w:r w:rsidRPr="00B31A73">
        <w:rPr>
          <w:rFonts w:ascii="Times New Roman" w:hAnsi="Times New Roman" w:cs="Times New Roman"/>
          <w:sz w:val="24"/>
          <w:szCs w:val="24"/>
        </w:rPr>
        <w:t>Returns are calculated from this information, making them slightly different than actual returns from January 1 – December 31.</w:t>
      </w:r>
    </w:p>
    <w:p w14:paraId="1BC855D3" w14:textId="56F01DFD" w:rsidR="00EC4938" w:rsidRPr="00B31A73" w:rsidRDefault="00EC4938" w:rsidP="00EC4938">
      <w:pPr>
        <w:pStyle w:val="ListParagraph"/>
        <w:numPr>
          <w:ilvl w:val="1"/>
          <w:numId w:val="11"/>
        </w:numPr>
        <w:rPr>
          <w:rFonts w:ascii="Times New Roman" w:hAnsi="Times New Roman" w:cs="Times New Roman"/>
          <w:sz w:val="24"/>
          <w:szCs w:val="24"/>
        </w:rPr>
      </w:pPr>
      <w:r w:rsidRPr="00B31A73">
        <w:rPr>
          <w:rFonts w:ascii="Times New Roman" w:hAnsi="Times New Roman" w:cs="Times New Roman"/>
          <w:sz w:val="24"/>
          <w:szCs w:val="24"/>
        </w:rPr>
        <w:t xml:space="preserve">Returns for 2018 are included for forecast periods that end in 2018 with the equity return for the year assumed to be </w:t>
      </w:r>
      <w:r w:rsidR="00FB44A5">
        <w:rPr>
          <w:rFonts w:ascii="Times New Roman" w:hAnsi="Times New Roman" w:cs="Times New Roman"/>
          <w:sz w:val="24"/>
          <w:szCs w:val="24"/>
        </w:rPr>
        <w:t>6</w:t>
      </w:r>
      <w:r w:rsidRPr="00B31A73">
        <w:rPr>
          <w:rFonts w:ascii="Times New Roman" w:hAnsi="Times New Roman" w:cs="Times New Roman"/>
          <w:sz w:val="24"/>
          <w:szCs w:val="24"/>
        </w:rPr>
        <w:t>% and the 10-year Treasury at the end of the year assumed to be 3.</w:t>
      </w:r>
      <w:r w:rsidR="00FB44A5">
        <w:rPr>
          <w:rFonts w:ascii="Times New Roman" w:hAnsi="Times New Roman" w:cs="Times New Roman"/>
          <w:sz w:val="24"/>
          <w:szCs w:val="24"/>
        </w:rPr>
        <w:t>15</w:t>
      </w:r>
      <w:r w:rsidRPr="00B31A73">
        <w:rPr>
          <w:rFonts w:ascii="Times New Roman" w:hAnsi="Times New Roman" w:cs="Times New Roman"/>
          <w:sz w:val="24"/>
          <w:szCs w:val="24"/>
        </w:rPr>
        <w:t>%.</w:t>
      </w:r>
    </w:p>
    <w:p w14:paraId="49191CF3" w14:textId="600D6959" w:rsidR="00F0738E" w:rsidRDefault="00F0738E" w:rsidP="003F51D6">
      <w:pPr>
        <w:pStyle w:val="ListParagraph"/>
        <w:numPr>
          <w:ilvl w:val="0"/>
          <w:numId w:val="11"/>
        </w:numPr>
        <w:ind w:left="720"/>
        <w:rPr>
          <w:rFonts w:ascii="Times New Roman" w:hAnsi="Times New Roman" w:cs="Times New Roman"/>
          <w:sz w:val="24"/>
          <w:szCs w:val="24"/>
        </w:rPr>
      </w:pPr>
      <w:r>
        <w:rPr>
          <w:rFonts w:ascii="Times New Roman" w:hAnsi="Times New Roman" w:cs="Times New Roman"/>
          <w:sz w:val="24"/>
          <w:szCs w:val="24"/>
        </w:rPr>
        <w:t xml:space="preserve">The CAPE metric uses a 10-year cycle of earnings throughout the </w:t>
      </w:r>
      <w:r w:rsidR="008740E0">
        <w:rPr>
          <w:rFonts w:ascii="Times New Roman" w:hAnsi="Times New Roman" w:cs="Times New Roman"/>
          <w:sz w:val="24"/>
          <w:szCs w:val="24"/>
        </w:rPr>
        <w:t>article</w:t>
      </w:r>
      <w:r>
        <w:rPr>
          <w:rFonts w:ascii="Times New Roman" w:hAnsi="Times New Roman" w:cs="Times New Roman"/>
          <w:sz w:val="24"/>
          <w:szCs w:val="24"/>
        </w:rPr>
        <w:t>.  Other cycle horizons were examined and 10-years was confirmed to be optimal or near optimal in terms of the connection to future returns.</w:t>
      </w:r>
    </w:p>
    <w:p w14:paraId="544FB4F3" w14:textId="6E896B3A" w:rsidR="00CA6307" w:rsidRPr="00B31A73" w:rsidRDefault="00CA6307" w:rsidP="003F51D6">
      <w:pPr>
        <w:pStyle w:val="ListParagraph"/>
        <w:numPr>
          <w:ilvl w:val="0"/>
          <w:numId w:val="11"/>
        </w:numPr>
        <w:ind w:left="720"/>
        <w:rPr>
          <w:rFonts w:ascii="Times New Roman" w:hAnsi="Times New Roman" w:cs="Times New Roman"/>
          <w:sz w:val="24"/>
          <w:szCs w:val="24"/>
        </w:rPr>
      </w:pPr>
      <w:r w:rsidRPr="00B31A73">
        <w:rPr>
          <w:rFonts w:ascii="Times New Roman" w:hAnsi="Times New Roman" w:cs="Times New Roman"/>
          <w:sz w:val="24"/>
          <w:szCs w:val="24"/>
        </w:rPr>
        <w:t>Equity</w:t>
      </w:r>
      <w:r w:rsidR="00DA0646">
        <w:rPr>
          <w:rFonts w:ascii="Times New Roman" w:hAnsi="Times New Roman" w:cs="Times New Roman"/>
          <w:sz w:val="24"/>
          <w:szCs w:val="24"/>
        </w:rPr>
        <w:t xml:space="preserve"> returns are based on the </w:t>
      </w:r>
      <w:r w:rsidR="00B255F2">
        <w:rPr>
          <w:rFonts w:ascii="Times New Roman" w:hAnsi="Times New Roman" w:cs="Times New Roman"/>
          <w:sz w:val="24"/>
          <w:szCs w:val="24"/>
        </w:rPr>
        <w:t xml:space="preserve">S&amp;P 500 index </w:t>
      </w:r>
      <w:r w:rsidR="00D643A1">
        <w:rPr>
          <w:rFonts w:ascii="Times New Roman" w:hAnsi="Times New Roman" w:cs="Times New Roman"/>
          <w:sz w:val="24"/>
          <w:szCs w:val="24"/>
        </w:rPr>
        <w:t xml:space="preserve">back to its inception in 1957.  Prior to 1957 a Standard &amp; Poor’s Composite Index </w:t>
      </w:r>
      <w:r w:rsidR="00FB44A5">
        <w:rPr>
          <w:rFonts w:ascii="Times New Roman" w:hAnsi="Times New Roman" w:cs="Times New Roman"/>
          <w:sz w:val="24"/>
          <w:szCs w:val="24"/>
        </w:rPr>
        <w:t>is available</w:t>
      </w:r>
      <w:r w:rsidR="00D643A1">
        <w:rPr>
          <w:rFonts w:ascii="Times New Roman" w:hAnsi="Times New Roman" w:cs="Times New Roman"/>
          <w:sz w:val="24"/>
          <w:szCs w:val="24"/>
        </w:rPr>
        <w:t xml:space="preserve"> using data from the S&amp;P 90 index back to 1928</w:t>
      </w:r>
      <w:r w:rsidR="00FB44A5">
        <w:rPr>
          <w:rFonts w:ascii="Times New Roman" w:hAnsi="Times New Roman" w:cs="Times New Roman"/>
          <w:sz w:val="24"/>
          <w:szCs w:val="24"/>
        </w:rPr>
        <w:t>.  D</w:t>
      </w:r>
      <w:r w:rsidR="00D643A1">
        <w:rPr>
          <w:rFonts w:ascii="Times New Roman" w:hAnsi="Times New Roman" w:cs="Times New Roman"/>
          <w:sz w:val="24"/>
          <w:szCs w:val="24"/>
        </w:rPr>
        <w:t>ata from Standard Statistics and the Cowles Commission extend the history back to 1871.</w:t>
      </w:r>
      <w:r w:rsidR="00DA0646">
        <w:rPr>
          <w:rFonts w:ascii="Times New Roman" w:hAnsi="Times New Roman" w:cs="Times New Roman"/>
          <w:sz w:val="24"/>
          <w:szCs w:val="24"/>
        </w:rPr>
        <w:t xml:space="preserve"> </w:t>
      </w:r>
    </w:p>
    <w:p w14:paraId="10DDA92B" w14:textId="4AE14201" w:rsidR="00CA6307" w:rsidRPr="00B31A73" w:rsidRDefault="00CA6307" w:rsidP="003F51D6">
      <w:pPr>
        <w:pStyle w:val="ListParagraph"/>
        <w:numPr>
          <w:ilvl w:val="0"/>
          <w:numId w:val="11"/>
        </w:numPr>
        <w:ind w:left="720"/>
        <w:rPr>
          <w:rFonts w:ascii="Times New Roman" w:hAnsi="Times New Roman" w:cs="Times New Roman"/>
          <w:sz w:val="24"/>
          <w:szCs w:val="24"/>
        </w:rPr>
      </w:pPr>
      <w:r w:rsidRPr="00B31A73">
        <w:rPr>
          <w:rFonts w:ascii="Times New Roman" w:hAnsi="Times New Roman" w:cs="Times New Roman"/>
          <w:sz w:val="24"/>
          <w:szCs w:val="24"/>
        </w:rPr>
        <w:t>10-year Treasury yields are only available back</w:t>
      </w:r>
      <w:r w:rsidR="003F51D6">
        <w:rPr>
          <w:rFonts w:ascii="Times New Roman" w:hAnsi="Times New Roman" w:cs="Times New Roman"/>
          <w:sz w:val="24"/>
          <w:szCs w:val="24"/>
        </w:rPr>
        <w:t xml:space="preserve"> to</w:t>
      </w:r>
      <w:r w:rsidRPr="00B31A73">
        <w:rPr>
          <w:rFonts w:ascii="Times New Roman" w:hAnsi="Times New Roman" w:cs="Times New Roman"/>
          <w:sz w:val="24"/>
          <w:szCs w:val="24"/>
        </w:rPr>
        <w:t xml:space="preserve"> 1953.  Shiller’s data uses information from </w:t>
      </w:r>
      <w:r w:rsidR="00EC4938" w:rsidRPr="003F51D6">
        <w:rPr>
          <w:rFonts w:ascii="Times New Roman" w:hAnsi="Times New Roman" w:cs="Times New Roman"/>
          <w:i/>
          <w:sz w:val="24"/>
          <w:szCs w:val="24"/>
        </w:rPr>
        <w:t>A</w:t>
      </w:r>
      <w:r w:rsidRPr="003F51D6">
        <w:rPr>
          <w:rFonts w:ascii="Times New Roman" w:hAnsi="Times New Roman" w:cs="Times New Roman"/>
          <w:i/>
          <w:sz w:val="24"/>
          <w:szCs w:val="24"/>
        </w:rPr>
        <w:t xml:space="preserve"> History of Interest Rates</w:t>
      </w:r>
      <w:r w:rsidR="00EC4938" w:rsidRPr="003F51D6">
        <w:rPr>
          <w:rFonts w:ascii="Times New Roman" w:hAnsi="Times New Roman" w:cs="Times New Roman"/>
          <w:i/>
          <w:sz w:val="24"/>
          <w:szCs w:val="24"/>
        </w:rPr>
        <w:t xml:space="preserve"> </w:t>
      </w:r>
      <w:r w:rsidR="00EC4938" w:rsidRPr="003F51D6">
        <w:rPr>
          <w:rFonts w:ascii="Times New Roman" w:hAnsi="Times New Roman" w:cs="Times New Roman"/>
          <w:sz w:val="24"/>
          <w:szCs w:val="24"/>
        </w:rPr>
        <w:t>by Sidney Homer</w:t>
      </w:r>
      <w:r w:rsidRPr="00B31A73">
        <w:rPr>
          <w:rFonts w:ascii="Times New Roman" w:hAnsi="Times New Roman" w:cs="Times New Roman"/>
          <w:sz w:val="24"/>
          <w:szCs w:val="24"/>
        </w:rPr>
        <w:t>.  The yields prior to 1953 are neither Treasury nor 10-year maturity and therefore introduce some uncertainty about the rates for this early period.  The author tested the impact of assuming different maturities (duration) for the yields prior to 1953 and found that the impact on results was relatively minor.</w:t>
      </w:r>
    </w:p>
    <w:p w14:paraId="58633225" w14:textId="30C52EB3" w:rsidR="00EC4938" w:rsidRPr="00B31A73" w:rsidRDefault="00EC4938" w:rsidP="003F51D6">
      <w:pPr>
        <w:pStyle w:val="ListParagraph"/>
        <w:numPr>
          <w:ilvl w:val="1"/>
          <w:numId w:val="11"/>
        </w:numPr>
        <w:ind w:left="1440"/>
        <w:rPr>
          <w:rFonts w:ascii="Times New Roman" w:hAnsi="Times New Roman" w:cs="Times New Roman"/>
          <w:sz w:val="24"/>
          <w:szCs w:val="24"/>
        </w:rPr>
      </w:pPr>
      <w:r w:rsidRPr="00B31A73">
        <w:rPr>
          <w:rFonts w:ascii="Times New Roman" w:hAnsi="Times New Roman" w:cs="Times New Roman"/>
          <w:sz w:val="24"/>
          <w:szCs w:val="24"/>
        </w:rPr>
        <w:t>1871 – 1900: New England municipal bonds yields from Macaulay’s</w:t>
      </w:r>
    </w:p>
    <w:p w14:paraId="4B996831" w14:textId="7B1DA9E9" w:rsidR="00EC4938" w:rsidRPr="00B31A73" w:rsidRDefault="00EC4938" w:rsidP="003F51D6">
      <w:pPr>
        <w:pStyle w:val="ListParagraph"/>
        <w:numPr>
          <w:ilvl w:val="1"/>
          <w:numId w:val="11"/>
        </w:numPr>
        <w:ind w:left="1440"/>
        <w:rPr>
          <w:rFonts w:ascii="Times New Roman" w:hAnsi="Times New Roman" w:cs="Times New Roman"/>
          <w:sz w:val="24"/>
          <w:szCs w:val="24"/>
        </w:rPr>
      </w:pPr>
      <w:r w:rsidRPr="00B31A73">
        <w:rPr>
          <w:rFonts w:ascii="Times New Roman" w:hAnsi="Times New Roman" w:cs="Times New Roman"/>
          <w:sz w:val="24"/>
          <w:szCs w:val="24"/>
        </w:rPr>
        <w:t>1901 – 1920: annual average for high grade municipal bond yields from The Bond Buyer</w:t>
      </w:r>
    </w:p>
    <w:p w14:paraId="6FE1C4AF" w14:textId="5D624B1F" w:rsidR="00EC4938" w:rsidRPr="00B31A73" w:rsidRDefault="00EC4938" w:rsidP="003F51D6">
      <w:pPr>
        <w:pStyle w:val="ListParagraph"/>
        <w:numPr>
          <w:ilvl w:val="1"/>
          <w:numId w:val="11"/>
        </w:numPr>
        <w:ind w:left="1440"/>
        <w:rPr>
          <w:rFonts w:ascii="Times New Roman" w:hAnsi="Times New Roman" w:cs="Times New Roman"/>
          <w:sz w:val="24"/>
          <w:szCs w:val="24"/>
        </w:rPr>
      </w:pPr>
      <w:r w:rsidRPr="00B31A73">
        <w:rPr>
          <w:rFonts w:ascii="Times New Roman" w:hAnsi="Times New Roman" w:cs="Times New Roman"/>
          <w:sz w:val="24"/>
          <w:szCs w:val="24"/>
        </w:rPr>
        <w:t>1921 – 1946: annual average for long-term government securities from Banking and Monetary Statistics a publication of the Federal Reserve Board, using average of yield of partially tax</w:t>
      </w:r>
      <w:r w:rsidR="00AA1FDB">
        <w:rPr>
          <w:rFonts w:ascii="Times New Roman" w:hAnsi="Times New Roman" w:cs="Times New Roman"/>
          <w:sz w:val="24"/>
          <w:szCs w:val="24"/>
        </w:rPr>
        <w:t>-</w:t>
      </w:r>
      <w:r w:rsidRPr="00B31A73">
        <w:rPr>
          <w:rFonts w:ascii="Times New Roman" w:hAnsi="Times New Roman" w:cs="Times New Roman"/>
          <w:sz w:val="24"/>
          <w:szCs w:val="24"/>
        </w:rPr>
        <w:t>exempt bonds (P.T.E.’s) over eight years until 1925 and over 12 years thereafter.</w:t>
      </w:r>
    </w:p>
    <w:p w14:paraId="077434AF" w14:textId="2327BC76" w:rsidR="00EC4938" w:rsidRPr="00B31A73" w:rsidRDefault="00EC4938" w:rsidP="003F51D6">
      <w:pPr>
        <w:pStyle w:val="ListParagraph"/>
        <w:numPr>
          <w:ilvl w:val="1"/>
          <w:numId w:val="11"/>
        </w:numPr>
        <w:ind w:left="1440"/>
        <w:rPr>
          <w:rFonts w:ascii="Times New Roman" w:hAnsi="Times New Roman" w:cs="Times New Roman"/>
          <w:sz w:val="24"/>
          <w:szCs w:val="24"/>
        </w:rPr>
      </w:pPr>
      <w:r w:rsidRPr="00B31A73">
        <w:rPr>
          <w:rFonts w:ascii="Times New Roman" w:hAnsi="Times New Roman" w:cs="Times New Roman"/>
          <w:sz w:val="24"/>
          <w:szCs w:val="24"/>
        </w:rPr>
        <w:t xml:space="preserve">1947 – 1953: </w:t>
      </w:r>
      <w:r w:rsidR="00F11B26">
        <w:rPr>
          <w:rFonts w:ascii="Times New Roman" w:hAnsi="Times New Roman" w:cs="Times New Roman"/>
          <w:sz w:val="24"/>
          <w:szCs w:val="24"/>
        </w:rPr>
        <w:t>these rates in the Shiller data cannot be traced to the latest edition</w:t>
      </w:r>
      <w:r w:rsidR="00762C1F">
        <w:rPr>
          <w:rFonts w:ascii="Times New Roman" w:hAnsi="Times New Roman" w:cs="Times New Roman"/>
          <w:sz w:val="24"/>
          <w:szCs w:val="24"/>
        </w:rPr>
        <w:t xml:space="preserve"> of Homer’s work but should represent prime and medium-grade corporate bond yields from the Federal Reserve.</w:t>
      </w:r>
      <w:r w:rsidR="0063173A">
        <w:rPr>
          <w:rFonts w:ascii="Times New Roman" w:hAnsi="Times New Roman" w:cs="Times New Roman"/>
          <w:sz w:val="24"/>
          <w:szCs w:val="24"/>
        </w:rPr>
        <w:t xml:space="preserve"> </w:t>
      </w:r>
      <w:r w:rsidRPr="00B31A73">
        <w:rPr>
          <w:rFonts w:ascii="Times New Roman" w:hAnsi="Times New Roman" w:cs="Times New Roman"/>
          <w:sz w:val="24"/>
          <w:szCs w:val="24"/>
        </w:rPr>
        <w:t xml:space="preserve"> </w:t>
      </w:r>
    </w:p>
    <w:p w14:paraId="55CE792C" w14:textId="69377509" w:rsidR="001A3986" w:rsidRPr="00CF7487" w:rsidRDefault="001A3986" w:rsidP="00CF7487">
      <w:pPr>
        <w:pStyle w:val="ListParagraph"/>
        <w:numPr>
          <w:ilvl w:val="0"/>
          <w:numId w:val="11"/>
        </w:numPr>
        <w:ind w:left="720"/>
        <w:rPr>
          <w:rFonts w:ascii="Times New Roman" w:hAnsi="Times New Roman" w:cs="Times New Roman"/>
          <w:sz w:val="24"/>
          <w:szCs w:val="24"/>
        </w:rPr>
      </w:pPr>
      <w:r>
        <w:rPr>
          <w:rFonts w:ascii="Times New Roman" w:hAnsi="Times New Roman" w:cs="Times New Roman"/>
          <w:sz w:val="24"/>
          <w:szCs w:val="24"/>
        </w:rPr>
        <w:t>Corporate bond yield information is from the Federal Reserve Data (FRED) site maintained by the St. Louis Fed</w:t>
      </w:r>
      <w:r w:rsidR="00CF7487">
        <w:rPr>
          <w:rFonts w:ascii="Times New Roman" w:hAnsi="Times New Roman" w:cs="Times New Roman"/>
          <w:sz w:val="24"/>
          <w:szCs w:val="24"/>
        </w:rPr>
        <w:t>:</w:t>
      </w:r>
      <w:r w:rsidR="00CF7487">
        <w:rPr>
          <w:rFonts w:ascii="Times New Roman" w:hAnsi="Times New Roman" w:cs="Times New Roman"/>
          <w:sz w:val="24"/>
          <w:szCs w:val="24"/>
        </w:rPr>
        <w:t xml:space="preserve"> </w:t>
      </w:r>
      <w:hyperlink r:id="rId9" w:history="1">
        <w:r w:rsidR="00CF7487" w:rsidRPr="00412E9B">
          <w:rPr>
            <w:rStyle w:val="Hyperlink"/>
            <w:rFonts w:ascii="Times New Roman" w:hAnsi="Times New Roman" w:cs="Times New Roman"/>
            <w:sz w:val="24"/>
            <w:szCs w:val="24"/>
          </w:rPr>
          <w:t>https://fred.stlouisfed.org/series/BAA</w:t>
        </w:r>
      </w:hyperlink>
      <w:r>
        <w:rPr>
          <w:rFonts w:ascii="Times New Roman" w:hAnsi="Times New Roman" w:cs="Times New Roman"/>
          <w:sz w:val="24"/>
          <w:szCs w:val="24"/>
        </w:rPr>
        <w:t>.</w:t>
      </w:r>
      <w:r w:rsidR="00BC5411">
        <w:rPr>
          <w:rFonts w:ascii="Times New Roman" w:hAnsi="Times New Roman" w:cs="Times New Roman"/>
          <w:sz w:val="24"/>
          <w:szCs w:val="24"/>
        </w:rPr>
        <w:t xml:space="preserve"> Rates from January 1 (or first business day) and February 1 (or first business day) were average to align more closely with the monthly average data for 10-year Treasury yields used by Shiller.</w:t>
      </w:r>
    </w:p>
    <w:p w14:paraId="6DC72F20" w14:textId="4B1E68EE" w:rsidR="00EC4938" w:rsidRPr="00B31A73" w:rsidRDefault="00EC4938" w:rsidP="003F51D6">
      <w:pPr>
        <w:pStyle w:val="ListParagraph"/>
        <w:numPr>
          <w:ilvl w:val="0"/>
          <w:numId w:val="11"/>
        </w:numPr>
        <w:ind w:left="720"/>
        <w:rPr>
          <w:rFonts w:ascii="Times New Roman" w:hAnsi="Times New Roman" w:cs="Times New Roman"/>
          <w:sz w:val="24"/>
          <w:szCs w:val="24"/>
        </w:rPr>
      </w:pPr>
      <w:r w:rsidRPr="00B31A73">
        <w:rPr>
          <w:rFonts w:ascii="Times New Roman" w:hAnsi="Times New Roman" w:cs="Times New Roman"/>
          <w:sz w:val="24"/>
          <w:szCs w:val="24"/>
        </w:rPr>
        <w:t>Annual returns on the 10-year Treasury bond are calculated using the following formula</w:t>
      </w:r>
    </w:p>
    <w:p w14:paraId="715852CE" w14:textId="771F0A79" w:rsidR="00EC4938" w:rsidRDefault="00EC4938" w:rsidP="00815A39">
      <w:pPr>
        <w:ind w:left="1440"/>
      </w:pPr>
      <w:proofErr w:type="spellStart"/>
      <w:proofErr w:type="gramStart"/>
      <w:r w:rsidRPr="00B31A73">
        <w:t>Yield</w:t>
      </w:r>
      <w:r w:rsidR="00AA0DD6">
        <w:rPr>
          <w:vertAlign w:val="subscript"/>
        </w:rPr>
        <w:t>avg</w:t>
      </w:r>
      <w:proofErr w:type="spellEnd"/>
      <w:r w:rsidRPr="00B31A73">
        <w:rPr>
          <w:vertAlign w:val="subscript"/>
        </w:rPr>
        <w:t xml:space="preserve"> </w:t>
      </w:r>
      <w:r w:rsidRPr="00B31A73">
        <w:t xml:space="preserve"> +</w:t>
      </w:r>
      <w:proofErr w:type="gramEnd"/>
      <w:r w:rsidRPr="00B31A73">
        <w:t xml:space="preserve"> ∆Y</w:t>
      </w:r>
      <w:r w:rsidR="009313C3">
        <w:t>ield</w:t>
      </w:r>
      <w:r w:rsidRPr="00B31A73">
        <w:t xml:space="preserve"> x Duration</w:t>
      </w:r>
    </w:p>
    <w:p w14:paraId="4F5C8E02" w14:textId="2CC0C423" w:rsidR="00815A39" w:rsidRDefault="00815A39" w:rsidP="00815A39">
      <w:pPr>
        <w:ind w:left="1440"/>
      </w:pPr>
    </w:p>
    <w:p w14:paraId="7A312B48" w14:textId="0F91B802" w:rsidR="00815A39" w:rsidRDefault="00815A39" w:rsidP="00815A39">
      <w:pPr>
        <w:pStyle w:val="ListParagraph"/>
        <w:numPr>
          <w:ilvl w:val="0"/>
          <w:numId w:val="16"/>
        </w:numPr>
        <w:rPr>
          <w:rFonts w:ascii="Times New Roman" w:hAnsi="Times New Roman" w:cs="Times New Roman"/>
          <w:sz w:val="24"/>
          <w:szCs w:val="24"/>
        </w:rPr>
      </w:pPr>
      <w:proofErr w:type="spellStart"/>
      <w:r w:rsidRPr="00815A39">
        <w:rPr>
          <w:rFonts w:ascii="Times New Roman" w:hAnsi="Times New Roman" w:cs="Times New Roman"/>
          <w:sz w:val="24"/>
          <w:szCs w:val="24"/>
        </w:rPr>
        <w:lastRenderedPageBreak/>
        <w:t>Yield</w:t>
      </w:r>
      <w:r w:rsidR="00AA0DD6">
        <w:rPr>
          <w:rFonts w:ascii="Times New Roman" w:hAnsi="Times New Roman" w:cs="Times New Roman"/>
          <w:sz w:val="24"/>
          <w:szCs w:val="24"/>
          <w:vertAlign w:val="subscript"/>
        </w:rPr>
        <w:t>avg</w:t>
      </w:r>
      <w:proofErr w:type="spellEnd"/>
      <w:r w:rsidRPr="00815A39">
        <w:rPr>
          <w:rFonts w:ascii="Times New Roman" w:hAnsi="Times New Roman" w:cs="Times New Roman"/>
          <w:sz w:val="24"/>
          <w:szCs w:val="24"/>
          <w:vertAlign w:val="subscript"/>
        </w:rPr>
        <w:t xml:space="preserve"> </w:t>
      </w:r>
      <w:r w:rsidRPr="00815A39">
        <w:rPr>
          <w:rFonts w:ascii="Times New Roman" w:hAnsi="Times New Roman" w:cs="Times New Roman"/>
          <w:sz w:val="24"/>
          <w:szCs w:val="24"/>
        </w:rPr>
        <w:t>is the average of the 12 months of 10-year Treasury yields reported in the Shiller data.</w:t>
      </w:r>
    </w:p>
    <w:p w14:paraId="644CE11E" w14:textId="69C0D0BC" w:rsidR="00CF7487" w:rsidRPr="00CF7487" w:rsidRDefault="00CF7487" w:rsidP="00815A39">
      <w:pPr>
        <w:pStyle w:val="ListParagraph"/>
        <w:numPr>
          <w:ilvl w:val="0"/>
          <w:numId w:val="16"/>
        </w:numPr>
        <w:rPr>
          <w:rFonts w:ascii="Times New Roman" w:hAnsi="Times New Roman" w:cs="Times New Roman"/>
          <w:sz w:val="24"/>
          <w:szCs w:val="24"/>
        </w:rPr>
      </w:pPr>
      <w:r w:rsidRPr="00CF7487">
        <w:rPr>
          <w:rFonts w:ascii="Times New Roman" w:hAnsi="Times New Roman" w:cs="Times New Roman"/>
          <w:sz w:val="24"/>
          <w:szCs w:val="24"/>
        </w:rPr>
        <w:t>∆Yield</w:t>
      </w:r>
      <w:r w:rsidRPr="00CF7487">
        <w:rPr>
          <w:rFonts w:ascii="Times New Roman" w:hAnsi="Times New Roman" w:cs="Times New Roman"/>
          <w:sz w:val="24"/>
          <w:szCs w:val="24"/>
        </w:rPr>
        <w:t xml:space="preserve"> is the change in the average</w:t>
      </w:r>
      <w:r>
        <w:rPr>
          <w:rFonts w:ascii="Times New Roman" w:hAnsi="Times New Roman" w:cs="Times New Roman"/>
          <w:sz w:val="24"/>
          <w:szCs w:val="24"/>
        </w:rPr>
        <w:t xml:space="preserve"> monthly</w:t>
      </w:r>
      <w:r w:rsidRPr="00CF7487">
        <w:rPr>
          <w:rFonts w:ascii="Times New Roman" w:hAnsi="Times New Roman" w:cs="Times New Roman"/>
          <w:sz w:val="24"/>
          <w:szCs w:val="24"/>
        </w:rPr>
        <w:t xml:space="preserve"> yield in the Shiller data from one January to the next.</w:t>
      </w:r>
    </w:p>
    <w:p w14:paraId="084B8D95" w14:textId="77777777" w:rsidR="007F63E9" w:rsidRPr="00B31A73" w:rsidRDefault="007F63E9" w:rsidP="003F51D6">
      <w:pPr>
        <w:ind w:left="360"/>
      </w:pPr>
    </w:p>
    <w:p w14:paraId="03470BB7" w14:textId="2BDC48C8" w:rsidR="00EC4938" w:rsidRPr="00B31A73" w:rsidRDefault="00F13856" w:rsidP="00CC4F3B">
      <w:pPr>
        <w:keepNext/>
        <w:ind w:left="720"/>
      </w:pPr>
      <w:r>
        <w:t xml:space="preserve">Roll return is ignored.  </w:t>
      </w:r>
      <w:r w:rsidR="00EC4938" w:rsidRPr="00B31A73">
        <w:t xml:space="preserve">Duration is </w:t>
      </w:r>
      <w:r w:rsidR="00C132BA">
        <w:t xml:space="preserve">determined by looking up </w:t>
      </w:r>
      <w:proofErr w:type="spellStart"/>
      <w:r w:rsidR="007920F6">
        <w:t>Yield</w:t>
      </w:r>
      <w:r w:rsidR="00C132BA">
        <w:rPr>
          <w:vertAlign w:val="subscript"/>
        </w:rPr>
        <w:t>avg</w:t>
      </w:r>
      <w:proofErr w:type="spellEnd"/>
      <w:r w:rsidR="00C132BA">
        <w:rPr>
          <w:vertAlign w:val="subscript"/>
        </w:rPr>
        <w:t xml:space="preserve"> </w:t>
      </w:r>
      <w:r w:rsidR="00C132BA">
        <w:t>in the following table</w:t>
      </w:r>
      <w:r w:rsidR="00CC4F3B">
        <w:t>, calculated by the author</w:t>
      </w:r>
      <w:r w:rsidR="00EC4938" w:rsidRPr="00B31A73">
        <w:t>:</w:t>
      </w:r>
    </w:p>
    <w:p w14:paraId="18E6C8D7" w14:textId="2E1AD5F6" w:rsidR="00F13856" w:rsidRDefault="00F13856" w:rsidP="00CC4F3B">
      <w:pPr>
        <w:keepNext/>
        <w:rPr>
          <w:b/>
        </w:rPr>
      </w:pPr>
    </w:p>
    <w:tbl>
      <w:tblPr>
        <w:tblW w:w="2960" w:type="dxa"/>
        <w:jc w:val="center"/>
        <w:tblLook w:val="04A0" w:firstRow="1" w:lastRow="0" w:firstColumn="1" w:lastColumn="0" w:noHBand="0" w:noVBand="1"/>
      </w:tblPr>
      <w:tblGrid>
        <w:gridCol w:w="1660"/>
        <w:gridCol w:w="1300"/>
      </w:tblGrid>
      <w:tr w:rsidR="007F63E9" w14:paraId="442B71F3"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51E67177" w14:textId="77777777" w:rsidR="007F63E9" w:rsidRPr="007F63E9" w:rsidRDefault="007F63E9" w:rsidP="00CC4F3B">
            <w:pPr>
              <w:keepNext/>
              <w:jc w:val="center"/>
            </w:pPr>
            <w:r w:rsidRPr="007F63E9">
              <w:t>Nearest Rate</w:t>
            </w:r>
          </w:p>
        </w:tc>
        <w:tc>
          <w:tcPr>
            <w:tcW w:w="1300" w:type="dxa"/>
            <w:tcBorders>
              <w:top w:val="nil"/>
              <w:left w:val="nil"/>
              <w:bottom w:val="nil"/>
              <w:right w:val="nil"/>
            </w:tcBorders>
            <w:shd w:val="clear" w:color="auto" w:fill="auto"/>
            <w:noWrap/>
            <w:vAlign w:val="bottom"/>
            <w:hideMark/>
          </w:tcPr>
          <w:p w14:paraId="109BCD9B" w14:textId="77777777" w:rsidR="007F63E9" w:rsidRPr="007F63E9" w:rsidRDefault="007F63E9" w:rsidP="00CC4F3B">
            <w:pPr>
              <w:keepNext/>
              <w:jc w:val="center"/>
            </w:pPr>
            <w:r w:rsidRPr="007F63E9">
              <w:t>Duration</w:t>
            </w:r>
          </w:p>
        </w:tc>
      </w:tr>
      <w:tr w:rsidR="007F63E9" w14:paraId="2268F3BE"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51BF4B6C" w14:textId="77777777" w:rsidR="007F63E9" w:rsidRPr="007F63E9" w:rsidRDefault="007F63E9" w:rsidP="00CC4F3B">
            <w:pPr>
              <w:keepNext/>
              <w:jc w:val="center"/>
            </w:pPr>
            <w:r w:rsidRPr="007F63E9">
              <w:t>1.0%</w:t>
            </w:r>
          </w:p>
        </w:tc>
        <w:tc>
          <w:tcPr>
            <w:tcW w:w="1300" w:type="dxa"/>
            <w:tcBorders>
              <w:top w:val="nil"/>
              <w:left w:val="nil"/>
              <w:bottom w:val="nil"/>
              <w:right w:val="nil"/>
            </w:tcBorders>
            <w:shd w:val="clear" w:color="auto" w:fill="auto"/>
            <w:noWrap/>
            <w:vAlign w:val="bottom"/>
            <w:hideMark/>
          </w:tcPr>
          <w:p w14:paraId="32BD4766" w14:textId="77777777" w:rsidR="007F63E9" w:rsidRPr="007F63E9" w:rsidRDefault="007F63E9" w:rsidP="00CC4F3B">
            <w:pPr>
              <w:keepNext/>
              <w:jc w:val="center"/>
            </w:pPr>
            <w:r w:rsidRPr="007F63E9">
              <w:t>9.50</w:t>
            </w:r>
          </w:p>
        </w:tc>
      </w:tr>
      <w:tr w:rsidR="007F63E9" w14:paraId="4D1438E3"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2F5B71C7" w14:textId="77777777" w:rsidR="007F63E9" w:rsidRPr="007F63E9" w:rsidRDefault="007F63E9" w:rsidP="00CC4F3B">
            <w:pPr>
              <w:keepNext/>
              <w:jc w:val="center"/>
            </w:pPr>
            <w:r w:rsidRPr="007F63E9">
              <w:t>2.0%</w:t>
            </w:r>
          </w:p>
        </w:tc>
        <w:tc>
          <w:tcPr>
            <w:tcW w:w="1300" w:type="dxa"/>
            <w:tcBorders>
              <w:top w:val="nil"/>
              <w:left w:val="nil"/>
              <w:bottom w:val="nil"/>
              <w:right w:val="nil"/>
            </w:tcBorders>
            <w:shd w:val="clear" w:color="auto" w:fill="auto"/>
            <w:noWrap/>
            <w:vAlign w:val="bottom"/>
            <w:hideMark/>
          </w:tcPr>
          <w:p w14:paraId="6228AA25" w14:textId="77777777" w:rsidR="007F63E9" w:rsidRPr="007F63E9" w:rsidRDefault="007F63E9" w:rsidP="00CC4F3B">
            <w:pPr>
              <w:keepNext/>
              <w:jc w:val="center"/>
            </w:pPr>
            <w:r w:rsidRPr="007F63E9">
              <w:t>8.94</w:t>
            </w:r>
          </w:p>
        </w:tc>
      </w:tr>
      <w:tr w:rsidR="007F63E9" w14:paraId="5DA7DFA8"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1BD74870" w14:textId="77777777" w:rsidR="007F63E9" w:rsidRPr="007F63E9" w:rsidRDefault="007F63E9" w:rsidP="00CC4F3B">
            <w:pPr>
              <w:keepNext/>
              <w:jc w:val="center"/>
            </w:pPr>
            <w:r w:rsidRPr="007F63E9">
              <w:t>3.0%</w:t>
            </w:r>
          </w:p>
        </w:tc>
        <w:tc>
          <w:tcPr>
            <w:tcW w:w="1300" w:type="dxa"/>
            <w:tcBorders>
              <w:top w:val="nil"/>
              <w:left w:val="nil"/>
              <w:bottom w:val="nil"/>
              <w:right w:val="nil"/>
            </w:tcBorders>
            <w:shd w:val="clear" w:color="auto" w:fill="auto"/>
            <w:noWrap/>
            <w:vAlign w:val="bottom"/>
            <w:hideMark/>
          </w:tcPr>
          <w:p w14:paraId="2D02C0B6" w14:textId="77777777" w:rsidR="007F63E9" w:rsidRPr="007F63E9" w:rsidRDefault="007F63E9" w:rsidP="00CC4F3B">
            <w:pPr>
              <w:keepNext/>
              <w:jc w:val="center"/>
            </w:pPr>
            <w:r w:rsidRPr="007F63E9">
              <w:t>8.46</w:t>
            </w:r>
          </w:p>
        </w:tc>
      </w:tr>
      <w:tr w:rsidR="007F63E9" w14:paraId="5729C293"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0C3C0C32" w14:textId="77777777" w:rsidR="007F63E9" w:rsidRPr="007F63E9" w:rsidRDefault="007F63E9" w:rsidP="00CC4F3B">
            <w:pPr>
              <w:keepNext/>
              <w:jc w:val="center"/>
            </w:pPr>
            <w:r w:rsidRPr="007F63E9">
              <w:t>4.0%</w:t>
            </w:r>
          </w:p>
        </w:tc>
        <w:tc>
          <w:tcPr>
            <w:tcW w:w="1300" w:type="dxa"/>
            <w:tcBorders>
              <w:top w:val="nil"/>
              <w:left w:val="nil"/>
              <w:bottom w:val="nil"/>
              <w:right w:val="nil"/>
            </w:tcBorders>
            <w:shd w:val="clear" w:color="auto" w:fill="auto"/>
            <w:noWrap/>
            <w:vAlign w:val="bottom"/>
            <w:hideMark/>
          </w:tcPr>
          <w:p w14:paraId="76AC9DAC" w14:textId="77777777" w:rsidR="007F63E9" w:rsidRPr="007F63E9" w:rsidRDefault="007F63E9" w:rsidP="00CC4F3B">
            <w:pPr>
              <w:keepNext/>
              <w:jc w:val="center"/>
            </w:pPr>
            <w:r w:rsidRPr="007F63E9">
              <w:t>8.02</w:t>
            </w:r>
          </w:p>
        </w:tc>
      </w:tr>
      <w:tr w:rsidR="007F63E9" w14:paraId="6124F6B4"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781A5B3D" w14:textId="77777777" w:rsidR="007F63E9" w:rsidRPr="007F63E9" w:rsidRDefault="007F63E9" w:rsidP="00CC4F3B">
            <w:pPr>
              <w:keepNext/>
              <w:jc w:val="center"/>
            </w:pPr>
            <w:r w:rsidRPr="007F63E9">
              <w:t>5.0%</w:t>
            </w:r>
          </w:p>
        </w:tc>
        <w:tc>
          <w:tcPr>
            <w:tcW w:w="1300" w:type="dxa"/>
            <w:tcBorders>
              <w:top w:val="nil"/>
              <w:left w:val="nil"/>
              <w:bottom w:val="nil"/>
              <w:right w:val="nil"/>
            </w:tcBorders>
            <w:shd w:val="clear" w:color="auto" w:fill="auto"/>
            <w:noWrap/>
            <w:vAlign w:val="bottom"/>
            <w:hideMark/>
          </w:tcPr>
          <w:p w14:paraId="262B2B32" w14:textId="77777777" w:rsidR="007F63E9" w:rsidRPr="007F63E9" w:rsidRDefault="007F63E9" w:rsidP="00CC4F3B">
            <w:pPr>
              <w:keepNext/>
              <w:jc w:val="center"/>
            </w:pPr>
            <w:r w:rsidRPr="007F63E9">
              <w:t>7.62</w:t>
            </w:r>
          </w:p>
        </w:tc>
      </w:tr>
      <w:tr w:rsidR="007F63E9" w14:paraId="318095CF"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6219338D" w14:textId="77777777" w:rsidR="007F63E9" w:rsidRPr="007F63E9" w:rsidRDefault="007F63E9" w:rsidP="00CC4F3B">
            <w:pPr>
              <w:keepNext/>
              <w:jc w:val="center"/>
              <w:rPr>
                <w:bCs/>
              </w:rPr>
            </w:pPr>
            <w:r w:rsidRPr="007F63E9">
              <w:rPr>
                <w:bCs/>
              </w:rPr>
              <w:t>6.0%</w:t>
            </w:r>
          </w:p>
        </w:tc>
        <w:tc>
          <w:tcPr>
            <w:tcW w:w="1300" w:type="dxa"/>
            <w:tcBorders>
              <w:top w:val="nil"/>
              <w:left w:val="nil"/>
              <w:bottom w:val="nil"/>
              <w:right w:val="nil"/>
            </w:tcBorders>
            <w:shd w:val="clear" w:color="auto" w:fill="auto"/>
            <w:noWrap/>
            <w:vAlign w:val="bottom"/>
            <w:hideMark/>
          </w:tcPr>
          <w:p w14:paraId="7BDB9218" w14:textId="77777777" w:rsidR="007F63E9" w:rsidRPr="007F63E9" w:rsidRDefault="007F63E9" w:rsidP="00CC4F3B">
            <w:pPr>
              <w:keepNext/>
              <w:jc w:val="center"/>
              <w:rPr>
                <w:bCs/>
              </w:rPr>
            </w:pPr>
            <w:r w:rsidRPr="007F63E9">
              <w:rPr>
                <w:bCs/>
              </w:rPr>
              <w:t>7.24</w:t>
            </w:r>
          </w:p>
        </w:tc>
      </w:tr>
      <w:tr w:rsidR="007F63E9" w14:paraId="6451F6B9"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2D00000A" w14:textId="77777777" w:rsidR="007F63E9" w:rsidRPr="007F63E9" w:rsidRDefault="007F63E9" w:rsidP="00CC4F3B">
            <w:pPr>
              <w:keepNext/>
              <w:jc w:val="center"/>
            </w:pPr>
            <w:r w:rsidRPr="007F63E9">
              <w:t>7.0%</w:t>
            </w:r>
          </w:p>
        </w:tc>
        <w:tc>
          <w:tcPr>
            <w:tcW w:w="1300" w:type="dxa"/>
            <w:tcBorders>
              <w:top w:val="nil"/>
              <w:left w:val="nil"/>
              <w:bottom w:val="nil"/>
              <w:right w:val="nil"/>
            </w:tcBorders>
            <w:shd w:val="clear" w:color="auto" w:fill="auto"/>
            <w:noWrap/>
            <w:vAlign w:val="bottom"/>
            <w:hideMark/>
          </w:tcPr>
          <w:p w14:paraId="740E514D" w14:textId="77777777" w:rsidR="007F63E9" w:rsidRPr="007F63E9" w:rsidRDefault="007F63E9" w:rsidP="00CC4F3B">
            <w:pPr>
              <w:keepNext/>
              <w:jc w:val="center"/>
            </w:pPr>
            <w:r w:rsidRPr="007F63E9">
              <w:t>6.89</w:t>
            </w:r>
          </w:p>
        </w:tc>
      </w:tr>
      <w:tr w:rsidR="007F63E9" w14:paraId="0575C028"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37730BDF" w14:textId="77777777" w:rsidR="007F63E9" w:rsidRPr="007F63E9" w:rsidRDefault="007F63E9" w:rsidP="00CC4F3B">
            <w:pPr>
              <w:keepNext/>
              <w:jc w:val="center"/>
            </w:pPr>
            <w:r w:rsidRPr="007F63E9">
              <w:t>8.0%</w:t>
            </w:r>
          </w:p>
        </w:tc>
        <w:tc>
          <w:tcPr>
            <w:tcW w:w="1300" w:type="dxa"/>
            <w:tcBorders>
              <w:top w:val="nil"/>
              <w:left w:val="nil"/>
              <w:bottom w:val="nil"/>
              <w:right w:val="nil"/>
            </w:tcBorders>
            <w:shd w:val="clear" w:color="auto" w:fill="auto"/>
            <w:noWrap/>
            <w:vAlign w:val="bottom"/>
            <w:hideMark/>
          </w:tcPr>
          <w:p w14:paraId="539B3CBB" w14:textId="77777777" w:rsidR="007F63E9" w:rsidRPr="007F63E9" w:rsidRDefault="007F63E9" w:rsidP="00CC4F3B">
            <w:pPr>
              <w:keepNext/>
              <w:jc w:val="center"/>
            </w:pPr>
            <w:r w:rsidRPr="007F63E9">
              <w:t>6.56</w:t>
            </w:r>
          </w:p>
        </w:tc>
      </w:tr>
      <w:tr w:rsidR="007F63E9" w14:paraId="3CF37D9F"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1159796E" w14:textId="77777777" w:rsidR="007F63E9" w:rsidRPr="007F63E9" w:rsidRDefault="007F63E9" w:rsidP="00CC4F3B">
            <w:pPr>
              <w:keepNext/>
              <w:jc w:val="center"/>
            </w:pPr>
            <w:r w:rsidRPr="007F63E9">
              <w:t>9.0%</w:t>
            </w:r>
          </w:p>
        </w:tc>
        <w:tc>
          <w:tcPr>
            <w:tcW w:w="1300" w:type="dxa"/>
            <w:tcBorders>
              <w:top w:val="nil"/>
              <w:left w:val="nil"/>
              <w:bottom w:val="nil"/>
              <w:right w:val="nil"/>
            </w:tcBorders>
            <w:shd w:val="clear" w:color="auto" w:fill="auto"/>
            <w:noWrap/>
            <w:vAlign w:val="bottom"/>
            <w:hideMark/>
          </w:tcPr>
          <w:p w14:paraId="30941B99" w14:textId="77777777" w:rsidR="007F63E9" w:rsidRPr="007F63E9" w:rsidRDefault="007F63E9" w:rsidP="00CC4F3B">
            <w:pPr>
              <w:keepNext/>
              <w:jc w:val="center"/>
            </w:pPr>
            <w:r w:rsidRPr="007F63E9">
              <w:t>6.26</w:t>
            </w:r>
          </w:p>
        </w:tc>
      </w:tr>
      <w:tr w:rsidR="007F63E9" w14:paraId="1BCBD899"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642709B6" w14:textId="77777777" w:rsidR="007F63E9" w:rsidRPr="007F63E9" w:rsidRDefault="007F63E9" w:rsidP="00CC4F3B">
            <w:pPr>
              <w:keepNext/>
              <w:jc w:val="center"/>
            </w:pPr>
            <w:r w:rsidRPr="007F63E9">
              <w:t>10.0%</w:t>
            </w:r>
          </w:p>
        </w:tc>
        <w:tc>
          <w:tcPr>
            <w:tcW w:w="1300" w:type="dxa"/>
            <w:tcBorders>
              <w:top w:val="nil"/>
              <w:left w:val="nil"/>
              <w:bottom w:val="nil"/>
              <w:right w:val="nil"/>
            </w:tcBorders>
            <w:shd w:val="clear" w:color="auto" w:fill="auto"/>
            <w:noWrap/>
            <w:vAlign w:val="bottom"/>
            <w:hideMark/>
          </w:tcPr>
          <w:p w14:paraId="48AC79DC" w14:textId="77777777" w:rsidR="007F63E9" w:rsidRPr="007F63E9" w:rsidRDefault="007F63E9" w:rsidP="00CC4F3B">
            <w:pPr>
              <w:keepNext/>
              <w:jc w:val="center"/>
            </w:pPr>
            <w:r w:rsidRPr="007F63E9">
              <w:t>5.97</w:t>
            </w:r>
          </w:p>
        </w:tc>
      </w:tr>
      <w:tr w:rsidR="007F63E9" w14:paraId="1C1C05BF"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764119BB" w14:textId="77777777" w:rsidR="007F63E9" w:rsidRPr="007F63E9" w:rsidRDefault="007F63E9" w:rsidP="00CC4F3B">
            <w:pPr>
              <w:keepNext/>
              <w:jc w:val="center"/>
            </w:pPr>
            <w:r w:rsidRPr="007F63E9">
              <w:t>11.0%</w:t>
            </w:r>
          </w:p>
        </w:tc>
        <w:tc>
          <w:tcPr>
            <w:tcW w:w="1300" w:type="dxa"/>
            <w:tcBorders>
              <w:top w:val="nil"/>
              <w:left w:val="nil"/>
              <w:bottom w:val="nil"/>
              <w:right w:val="nil"/>
            </w:tcBorders>
            <w:shd w:val="clear" w:color="auto" w:fill="auto"/>
            <w:noWrap/>
            <w:vAlign w:val="bottom"/>
            <w:hideMark/>
          </w:tcPr>
          <w:p w14:paraId="3A8504F5" w14:textId="77777777" w:rsidR="007F63E9" w:rsidRPr="007F63E9" w:rsidRDefault="007F63E9" w:rsidP="00CC4F3B">
            <w:pPr>
              <w:keepNext/>
              <w:jc w:val="center"/>
            </w:pPr>
            <w:r w:rsidRPr="007F63E9">
              <w:t>5.71</w:t>
            </w:r>
          </w:p>
        </w:tc>
      </w:tr>
      <w:tr w:rsidR="007F63E9" w14:paraId="0C1DD655"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7A152296" w14:textId="77777777" w:rsidR="007F63E9" w:rsidRPr="007F63E9" w:rsidRDefault="007F63E9" w:rsidP="00CC4F3B">
            <w:pPr>
              <w:keepNext/>
              <w:jc w:val="center"/>
            </w:pPr>
            <w:r w:rsidRPr="007F63E9">
              <w:t>12.0%</w:t>
            </w:r>
          </w:p>
        </w:tc>
        <w:tc>
          <w:tcPr>
            <w:tcW w:w="1300" w:type="dxa"/>
            <w:tcBorders>
              <w:top w:val="nil"/>
              <w:left w:val="nil"/>
              <w:bottom w:val="nil"/>
              <w:right w:val="nil"/>
            </w:tcBorders>
            <w:shd w:val="clear" w:color="auto" w:fill="auto"/>
            <w:noWrap/>
            <w:vAlign w:val="bottom"/>
            <w:hideMark/>
          </w:tcPr>
          <w:p w14:paraId="17DCC929" w14:textId="77777777" w:rsidR="007F63E9" w:rsidRPr="007F63E9" w:rsidRDefault="007F63E9" w:rsidP="00CC4F3B">
            <w:pPr>
              <w:keepNext/>
              <w:jc w:val="center"/>
            </w:pPr>
            <w:r w:rsidRPr="007F63E9">
              <w:t>5.46</w:t>
            </w:r>
          </w:p>
        </w:tc>
      </w:tr>
      <w:tr w:rsidR="007F63E9" w14:paraId="1AFC5379"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6FB42356" w14:textId="77777777" w:rsidR="007F63E9" w:rsidRPr="007F63E9" w:rsidRDefault="007F63E9" w:rsidP="00CC4F3B">
            <w:pPr>
              <w:keepNext/>
              <w:jc w:val="center"/>
            </w:pPr>
            <w:r w:rsidRPr="007F63E9">
              <w:t>13.0%</w:t>
            </w:r>
          </w:p>
        </w:tc>
        <w:tc>
          <w:tcPr>
            <w:tcW w:w="1300" w:type="dxa"/>
            <w:tcBorders>
              <w:top w:val="nil"/>
              <w:left w:val="nil"/>
              <w:bottom w:val="nil"/>
              <w:right w:val="nil"/>
            </w:tcBorders>
            <w:shd w:val="clear" w:color="auto" w:fill="auto"/>
            <w:noWrap/>
            <w:vAlign w:val="bottom"/>
            <w:hideMark/>
          </w:tcPr>
          <w:p w14:paraId="6CBC9DBD" w14:textId="77777777" w:rsidR="007F63E9" w:rsidRPr="007F63E9" w:rsidRDefault="007F63E9" w:rsidP="00CC4F3B">
            <w:pPr>
              <w:keepNext/>
              <w:jc w:val="center"/>
            </w:pPr>
            <w:r w:rsidRPr="007F63E9">
              <w:t>5.23</w:t>
            </w:r>
          </w:p>
        </w:tc>
      </w:tr>
      <w:tr w:rsidR="007F63E9" w14:paraId="14EA021A"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5D1B0D84" w14:textId="77777777" w:rsidR="007F63E9" w:rsidRPr="007F63E9" w:rsidRDefault="007F63E9" w:rsidP="00CC4F3B">
            <w:pPr>
              <w:keepNext/>
              <w:jc w:val="center"/>
            </w:pPr>
            <w:r w:rsidRPr="007F63E9">
              <w:t>14.0%</w:t>
            </w:r>
          </w:p>
        </w:tc>
        <w:tc>
          <w:tcPr>
            <w:tcW w:w="1300" w:type="dxa"/>
            <w:tcBorders>
              <w:top w:val="nil"/>
              <w:left w:val="nil"/>
              <w:bottom w:val="nil"/>
              <w:right w:val="nil"/>
            </w:tcBorders>
            <w:shd w:val="clear" w:color="auto" w:fill="auto"/>
            <w:noWrap/>
            <w:vAlign w:val="bottom"/>
            <w:hideMark/>
          </w:tcPr>
          <w:p w14:paraId="71E26282" w14:textId="77777777" w:rsidR="007F63E9" w:rsidRPr="007F63E9" w:rsidRDefault="007F63E9" w:rsidP="00CC4F3B">
            <w:pPr>
              <w:keepNext/>
              <w:jc w:val="center"/>
            </w:pPr>
            <w:r w:rsidRPr="007F63E9">
              <w:t>5.02</w:t>
            </w:r>
          </w:p>
        </w:tc>
      </w:tr>
      <w:tr w:rsidR="007F63E9" w14:paraId="0C852C54"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705F5012" w14:textId="77777777" w:rsidR="007F63E9" w:rsidRPr="007F63E9" w:rsidRDefault="007F63E9" w:rsidP="00CC4F3B">
            <w:pPr>
              <w:keepNext/>
              <w:jc w:val="center"/>
            </w:pPr>
            <w:r w:rsidRPr="007F63E9">
              <w:t>15.0%</w:t>
            </w:r>
          </w:p>
        </w:tc>
        <w:tc>
          <w:tcPr>
            <w:tcW w:w="1300" w:type="dxa"/>
            <w:tcBorders>
              <w:top w:val="nil"/>
              <w:left w:val="nil"/>
              <w:bottom w:val="nil"/>
              <w:right w:val="nil"/>
            </w:tcBorders>
            <w:shd w:val="clear" w:color="auto" w:fill="auto"/>
            <w:noWrap/>
            <w:vAlign w:val="bottom"/>
            <w:hideMark/>
          </w:tcPr>
          <w:p w14:paraId="138FBE53" w14:textId="77777777" w:rsidR="007F63E9" w:rsidRPr="007F63E9" w:rsidRDefault="007F63E9" w:rsidP="00CC4F3B">
            <w:pPr>
              <w:keepNext/>
              <w:jc w:val="center"/>
            </w:pPr>
            <w:r w:rsidRPr="007F63E9">
              <w:t>4.82</w:t>
            </w:r>
          </w:p>
        </w:tc>
      </w:tr>
      <w:tr w:rsidR="007F63E9" w14:paraId="6FBB1B1E" w14:textId="77777777" w:rsidTr="007F63E9">
        <w:trPr>
          <w:trHeight w:val="260"/>
          <w:jc w:val="center"/>
        </w:trPr>
        <w:tc>
          <w:tcPr>
            <w:tcW w:w="1660" w:type="dxa"/>
            <w:tcBorders>
              <w:top w:val="nil"/>
              <w:left w:val="nil"/>
              <w:bottom w:val="nil"/>
              <w:right w:val="nil"/>
            </w:tcBorders>
            <w:shd w:val="clear" w:color="auto" w:fill="auto"/>
            <w:noWrap/>
            <w:vAlign w:val="bottom"/>
            <w:hideMark/>
          </w:tcPr>
          <w:p w14:paraId="6C025281" w14:textId="77777777" w:rsidR="007F63E9" w:rsidRPr="007F63E9" w:rsidRDefault="007F63E9" w:rsidP="00CC4F3B">
            <w:pPr>
              <w:keepNext/>
              <w:jc w:val="center"/>
            </w:pPr>
            <w:r w:rsidRPr="007F63E9">
              <w:t>16.0%</w:t>
            </w:r>
          </w:p>
        </w:tc>
        <w:tc>
          <w:tcPr>
            <w:tcW w:w="1300" w:type="dxa"/>
            <w:tcBorders>
              <w:top w:val="nil"/>
              <w:left w:val="nil"/>
              <w:bottom w:val="nil"/>
              <w:right w:val="nil"/>
            </w:tcBorders>
            <w:shd w:val="clear" w:color="auto" w:fill="auto"/>
            <w:noWrap/>
            <w:vAlign w:val="bottom"/>
            <w:hideMark/>
          </w:tcPr>
          <w:p w14:paraId="3023FD59" w14:textId="77777777" w:rsidR="007F63E9" w:rsidRPr="007F63E9" w:rsidRDefault="007F63E9" w:rsidP="00CC4F3B">
            <w:pPr>
              <w:keepNext/>
              <w:jc w:val="center"/>
            </w:pPr>
            <w:r w:rsidRPr="007F63E9">
              <w:t>4.63</w:t>
            </w:r>
          </w:p>
        </w:tc>
      </w:tr>
    </w:tbl>
    <w:p w14:paraId="568F0818" w14:textId="6FA20E6E" w:rsidR="00815A39" w:rsidRDefault="00815A39" w:rsidP="002B6B1C">
      <w:pPr>
        <w:rPr>
          <w:b/>
        </w:rPr>
      </w:pPr>
    </w:p>
    <w:p w14:paraId="37108F77" w14:textId="77777777" w:rsidR="00815A39" w:rsidRDefault="00815A39">
      <w:pPr>
        <w:spacing w:after="160" w:line="259" w:lineRule="auto"/>
        <w:rPr>
          <w:b/>
        </w:rPr>
      </w:pPr>
      <w:r>
        <w:rPr>
          <w:b/>
        </w:rPr>
        <w:br w:type="page"/>
      </w:r>
    </w:p>
    <w:p w14:paraId="49C0419D" w14:textId="77777777" w:rsidR="007F63E9" w:rsidRDefault="007F63E9" w:rsidP="002B6B1C">
      <w:pPr>
        <w:rPr>
          <w:b/>
        </w:rPr>
      </w:pPr>
    </w:p>
    <w:p w14:paraId="460B8F08" w14:textId="1A3907A3" w:rsidR="002B6B1C" w:rsidRPr="00914DE9" w:rsidRDefault="002B6B1C" w:rsidP="00815A39">
      <w:pPr>
        <w:spacing w:after="120"/>
        <w:rPr>
          <w:b/>
        </w:rPr>
      </w:pPr>
      <w:r w:rsidRPr="00914DE9">
        <w:rPr>
          <w:b/>
        </w:rPr>
        <w:t>Appendix I - Mathematical Basis</w:t>
      </w:r>
    </w:p>
    <w:p w14:paraId="447B060A" w14:textId="66AE21E5" w:rsidR="002B6B1C" w:rsidRPr="00914DE9" w:rsidRDefault="002B6B1C" w:rsidP="00815A39">
      <w:pPr>
        <w:spacing w:after="120"/>
      </w:pPr>
      <w:r w:rsidRPr="00914DE9">
        <w:t xml:space="preserve">The following derivation supports the general risk sentiment concept </w:t>
      </w:r>
      <w:r w:rsidR="00963F3F" w:rsidRPr="00914DE9">
        <w:t xml:space="preserve">for any asset class </w:t>
      </w:r>
      <w:r w:rsidRPr="00914DE9">
        <w:t xml:space="preserve">and the ERS metric </w:t>
      </w:r>
      <w:r w:rsidR="00963F3F" w:rsidRPr="00914DE9">
        <w:t xml:space="preserve">for equities </w:t>
      </w:r>
      <w:r w:rsidRPr="00914DE9">
        <w:t xml:space="preserve">in particular.  </w:t>
      </w:r>
    </w:p>
    <w:p w14:paraId="3EA38932" w14:textId="77777777" w:rsidR="002B6B1C" w:rsidRPr="00914DE9" w:rsidRDefault="002B6B1C" w:rsidP="00815A39">
      <w:pPr>
        <w:spacing w:after="120"/>
      </w:pPr>
      <w:r w:rsidRPr="00914DE9">
        <w:t>Price is determined using cash flow, growth rate and a discount rate using the formula</w:t>
      </w:r>
    </w:p>
    <w:p w14:paraId="22D31BA8" w14:textId="77777777" w:rsidR="002B6B1C" w:rsidRPr="00914DE9" w:rsidRDefault="002B6B1C" w:rsidP="00815A39">
      <w:pPr>
        <w:spacing w:after="120"/>
        <w:ind w:left="720"/>
        <w:rPr>
          <w:vertAlign w:val="superscript"/>
        </w:rPr>
      </w:pPr>
      <w:r w:rsidRPr="00914DE9">
        <w:t>P = CF</w:t>
      </w:r>
      <w:proofErr w:type="gramStart"/>
      <w:r w:rsidRPr="00914DE9">
        <w:rPr>
          <w:vertAlign w:val="subscript"/>
        </w:rPr>
        <w:t xml:space="preserve">0  </w:t>
      </w:r>
      <w:r w:rsidRPr="00914DE9">
        <w:t>+</w:t>
      </w:r>
      <w:proofErr w:type="gramEnd"/>
      <w:r w:rsidRPr="00914DE9">
        <w:t xml:space="preserve"> CF</w:t>
      </w:r>
      <w:r w:rsidRPr="00914DE9">
        <w:rPr>
          <w:vertAlign w:val="subscript"/>
        </w:rPr>
        <w:t>0</w:t>
      </w:r>
      <w:r w:rsidRPr="00914DE9">
        <w:rPr>
          <w:vertAlign w:val="superscript"/>
        </w:rPr>
        <w:t xml:space="preserve"> </w:t>
      </w:r>
      <w:r w:rsidRPr="00914DE9">
        <w:t>x (1 + g) / (1 + r) + CF</w:t>
      </w:r>
      <w:r w:rsidRPr="00914DE9">
        <w:rPr>
          <w:vertAlign w:val="subscript"/>
        </w:rPr>
        <w:t>0</w:t>
      </w:r>
      <w:r w:rsidRPr="00914DE9">
        <w:rPr>
          <w:vertAlign w:val="superscript"/>
        </w:rPr>
        <w:t xml:space="preserve"> </w:t>
      </w:r>
      <w:r w:rsidRPr="00914DE9">
        <w:t>x (1 + g)</w:t>
      </w:r>
      <w:r w:rsidRPr="00914DE9">
        <w:rPr>
          <w:vertAlign w:val="superscript"/>
        </w:rPr>
        <w:t>2</w:t>
      </w:r>
      <w:r w:rsidRPr="00914DE9">
        <w:t xml:space="preserve"> / (1 + r)</w:t>
      </w:r>
      <w:r w:rsidRPr="00914DE9">
        <w:rPr>
          <w:vertAlign w:val="superscript"/>
        </w:rPr>
        <w:t xml:space="preserve">2 </w:t>
      </w:r>
      <w:r w:rsidRPr="00914DE9">
        <w:t>+ ….. CF</w:t>
      </w:r>
      <w:r w:rsidRPr="00914DE9">
        <w:rPr>
          <w:vertAlign w:val="subscript"/>
        </w:rPr>
        <w:t>0</w:t>
      </w:r>
      <w:r w:rsidRPr="00914DE9">
        <w:rPr>
          <w:vertAlign w:val="superscript"/>
        </w:rPr>
        <w:t xml:space="preserve"> </w:t>
      </w:r>
      <w:r w:rsidRPr="00914DE9">
        <w:t xml:space="preserve">x (1 + </w:t>
      </w:r>
      <w:proofErr w:type="gramStart"/>
      <w:r w:rsidRPr="00914DE9">
        <w:t>g)</w:t>
      </w:r>
      <w:r w:rsidRPr="00914DE9">
        <w:rPr>
          <w:vertAlign w:val="superscript"/>
        </w:rPr>
        <w:t>n</w:t>
      </w:r>
      <w:proofErr w:type="gramEnd"/>
      <w:r w:rsidRPr="00914DE9">
        <w:t xml:space="preserve"> / (1 + r)</w:t>
      </w:r>
      <w:r w:rsidRPr="00914DE9">
        <w:rPr>
          <w:vertAlign w:val="superscript"/>
        </w:rPr>
        <w:t>n</w:t>
      </w:r>
    </w:p>
    <w:p w14:paraId="17D8C35E" w14:textId="3EADFC73" w:rsidR="002B6B1C" w:rsidRPr="00914DE9" w:rsidRDefault="002B6B1C" w:rsidP="00815A39">
      <w:pPr>
        <w:spacing w:after="120"/>
      </w:pPr>
      <w:r w:rsidRPr="00914DE9">
        <w:t xml:space="preserve">Price per dollar of cash flow is </w:t>
      </w:r>
    </w:p>
    <w:p w14:paraId="71CB9DA0" w14:textId="77777777" w:rsidR="002B6B1C" w:rsidRPr="00914DE9" w:rsidRDefault="002B6B1C" w:rsidP="00815A39">
      <w:pPr>
        <w:spacing w:after="120"/>
        <w:ind w:left="720"/>
        <w:rPr>
          <w:vertAlign w:val="superscript"/>
        </w:rPr>
      </w:pPr>
      <w:r w:rsidRPr="00914DE9">
        <w:t>P / CF</w:t>
      </w:r>
      <w:r w:rsidRPr="00914DE9">
        <w:rPr>
          <w:vertAlign w:val="subscript"/>
        </w:rPr>
        <w:t>0</w:t>
      </w:r>
      <w:r w:rsidRPr="00914DE9">
        <w:t xml:space="preserve"> = (1 + g) / (1 + r) + (1 + g)</w:t>
      </w:r>
      <w:r w:rsidRPr="00914DE9">
        <w:rPr>
          <w:vertAlign w:val="superscript"/>
        </w:rPr>
        <w:t>2</w:t>
      </w:r>
      <w:r w:rsidRPr="00914DE9">
        <w:t xml:space="preserve"> / (1 + r)</w:t>
      </w:r>
      <w:r w:rsidRPr="00914DE9">
        <w:rPr>
          <w:vertAlign w:val="superscript"/>
        </w:rPr>
        <w:t xml:space="preserve">2 </w:t>
      </w:r>
      <w:r w:rsidRPr="00914DE9">
        <w:t xml:space="preserve">+ </w:t>
      </w:r>
      <w:proofErr w:type="gramStart"/>
      <w:r w:rsidRPr="00914DE9">
        <w:t>…..</w:t>
      </w:r>
      <w:proofErr w:type="gramEnd"/>
      <w:r w:rsidRPr="00914DE9">
        <w:t xml:space="preserve"> (1 + </w:t>
      </w:r>
      <w:proofErr w:type="gramStart"/>
      <w:r w:rsidRPr="00914DE9">
        <w:t>g)</w:t>
      </w:r>
      <w:r w:rsidRPr="00914DE9">
        <w:rPr>
          <w:vertAlign w:val="superscript"/>
        </w:rPr>
        <w:t>n</w:t>
      </w:r>
      <w:proofErr w:type="gramEnd"/>
      <w:r w:rsidRPr="00914DE9">
        <w:t xml:space="preserve"> / (1 + r)</w:t>
      </w:r>
      <w:r w:rsidRPr="00914DE9">
        <w:rPr>
          <w:vertAlign w:val="superscript"/>
        </w:rPr>
        <w:t>n</w:t>
      </w:r>
    </w:p>
    <w:p w14:paraId="2B6AF0F9" w14:textId="77777777" w:rsidR="002B6B1C" w:rsidRPr="00914DE9" w:rsidRDefault="002B6B1C" w:rsidP="00815A39">
      <w:pPr>
        <w:spacing w:after="120"/>
      </w:pPr>
      <w:r w:rsidRPr="00914DE9">
        <w:t xml:space="preserve">In the same way that the dividend discount model is derived, the formula above can be stated as </w:t>
      </w:r>
    </w:p>
    <w:p w14:paraId="40AB3F06" w14:textId="77777777" w:rsidR="002B6B1C" w:rsidRPr="00914DE9" w:rsidRDefault="002B6B1C" w:rsidP="00815A39">
      <w:pPr>
        <w:spacing w:after="120"/>
        <w:ind w:left="720"/>
      </w:pPr>
      <w:r w:rsidRPr="00914DE9">
        <w:t>P / CF</w:t>
      </w:r>
      <w:r w:rsidRPr="00914DE9">
        <w:rPr>
          <w:vertAlign w:val="subscript"/>
        </w:rPr>
        <w:t>1</w:t>
      </w:r>
      <w:r w:rsidRPr="00914DE9">
        <w:t xml:space="preserve"> = 1 / (r – g)</w:t>
      </w:r>
    </w:p>
    <w:p w14:paraId="049D965C" w14:textId="462EAE54" w:rsidR="002B6B1C" w:rsidRPr="00914DE9" w:rsidRDefault="002B6B1C" w:rsidP="00815A39">
      <w:pPr>
        <w:spacing w:after="120"/>
      </w:pPr>
      <w:r w:rsidRPr="00914DE9">
        <w:t xml:space="preserve">For purposes of this </w:t>
      </w:r>
      <w:r w:rsidR="008740E0">
        <w:t>article</w:t>
      </w:r>
      <w:r w:rsidRPr="00914DE9">
        <w:t xml:space="preserve">, the required return discount rate in the denominator </w:t>
      </w:r>
      <w:r w:rsidR="00762C1F">
        <w:t xml:space="preserve">is restated </w:t>
      </w:r>
      <w:r w:rsidRPr="00914DE9">
        <w:t xml:space="preserve">as </w:t>
      </w:r>
      <w:proofErr w:type="spellStart"/>
      <w:proofErr w:type="gramStart"/>
      <w:r w:rsidRPr="00914DE9">
        <w:t>r</w:t>
      </w:r>
      <w:r w:rsidRPr="00914DE9">
        <w:rPr>
          <w:vertAlign w:val="subscript"/>
        </w:rPr>
        <w:t>rf</w:t>
      </w:r>
      <w:proofErr w:type="spellEnd"/>
      <w:r w:rsidRPr="00914DE9">
        <w:rPr>
          <w:vertAlign w:val="subscript"/>
        </w:rPr>
        <w:t xml:space="preserve"> </w:t>
      </w:r>
      <w:r w:rsidRPr="00914DE9">
        <w:t xml:space="preserve"> +</w:t>
      </w:r>
      <w:proofErr w:type="gramEnd"/>
      <w:r w:rsidRPr="00914DE9">
        <w:t xml:space="preserve"> </w:t>
      </w:r>
      <w:proofErr w:type="spellStart"/>
      <w:r w:rsidRPr="00914DE9">
        <w:t>r</w:t>
      </w:r>
      <w:r w:rsidRPr="00914DE9">
        <w:rPr>
          <w:vertAlign w:val="subscript"/>
        </w:rPr>
        <w:t>rp</w:t>
      </w:r>
      <w:proofErr w:type="spellEnd"/>
      <w:r w:rsidRPr="00914DE9">
        <w:t xml:space="preserve"> which is the risk-free rate plus the risk premium that equates to the required or expected return r.  </w:t>
      </w:r>
    </w:p>
    <w:p w14:paraId="2C9DFE59" w14:textId="77777777" w:rsidR="002B6B1C" w:rsidRPr="00914DE9" w:rsidRDefault="002B6B1C" w:rsidP="00815A39">
      <w:pPr>
        <w:pStyle w:val="ListParagraph"/>
        <w:numPr>
          <w:ilvl w:val="0"/>
          <w:numId w:val="7"/>
        </w:numPr>
        <w:spacing w:after="120" w:line="240" w:lineRule="auto"/>
        <w:rPr>
          <w:rFonts w:ascii="Times New Roman" w:hAnsi="Times New Roman" w:cs="Times New Roman"/>
          <w:sz w:val="24"/>
          <w:szCs w:val="24"/>
        </w:rPr>
      </w:pPr>
      <w:r w:rsidRPr="00914DE9">
        <w:rPr>
          <w:rFonts w:ascii="Times New Roman" w:hAnsi="Times New Roman" w:cs="Times New Roman"/>
          <w:sz w:val="24"/>
          <w:szCs w:val="24"/>
        </w:rPr>
        <w:t>P / CF</w:t>
      </w:r>
      <w:r w:rsidRPr="00914DE9">
        <w:rPr>
          <w:rFonts w:ascii="Times New Roman" w:hAnsi="Times New Roman" w:cs="Times New Roman"/>
          <w:sz w:val="24"/>
          <w:szCs w:val="24"/>
          <w:vertAlign w:val="subscript"/>
        </w:rPr>
        <w:t>1</w:t>
      </w:r>
      <w:r w:rsidRPr="00914DE9">
        <w:rPr>
          <w:rFonts w:ascii="Times New Roman" w:hAnsi="Times New Roman" w:cs="Times New Roman"/>
          <w:sz w:val="24"/>
          <w:szCs w:val="24"/>
        </w:rPr>
        <w:t xml:space="preserve"> = 1 / (</w:t>
      </w:r>
      <w:proofErr w:type="spell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rf</w:t>
      </w:r>
      <w:proofErr w:type="spellEnd"/>
      <w:r w:rsidRPr="00914DE9">
        <w:rPr>
          <w:rFonts w:ascii="Times New Roman" w:hAnsi="Times New Roman" w:cs="Times New Roman"/>
          <w:sz w:val="24"/>
          <w:szCs w:val="24"/>
        </w:rPr>
        <w:t xml:space="preserve"> + </w:t>
      </w:r>
      <w:proofErr w:type="spell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rp</w:t>
      </w:r>
      <w:proofErr w:type="spellEnd"/>
      <w:r w:rsidRPr="00914DE9">
        <w:rPr>
          <w:rFonts w:ascii="Times New Roman" w:hAnsi="Times New Roman" w:cs="Times New Roman"/>
          <w:sz w:val="24"/>
          <w:szCs w:val="24"/>
          <w:vertAlign w:val="subscript"/>
        </w:rPr>
        <w:t xml:space="preserve"> </w:t>
      </w:r>
      <w:r w:rsidRPr="00914DE9">
        <w:rPr>
          <w:rFonts w:ascii="Times New Roman" w:hAnsi="Times New Roman" w:cs="Times New Roman"/>
          <w:sz w:val="24"/>
          <w:szCs w:val="24"/>
        </w:rPr>
        <w:t>- g)</w:t>
      </w:r>
    </w:p>
    <w:p w14:paraId="44335547" w14:textId="290160CA" w:rsidR="002B6B1C" w:rsidRPr="00914DE9" w:rsidRDefault="002B6B1C" w:rsidP="00815A39">
      <w:pPr>
        <w:spacing w:after="120"/>
      </w:pPr>
      <w:r w:rsidRPr="00914DE9">
        <w:t>From formula (1) a formula for the equity risk premium</w:t>
      </w:r>
      <w:r w:rsidR="00762C1F">
        <w:t xml:space="preserve"> is derived</w:t>
      </w:r>
      <w:r w:rsidRPr="00914DE9">
        <w:t>, showing that</w:t>
      </w:r>
      <w:r w:rsidR="00762C1F">
        <w:t xml:space="preserve"> it</w:t>
      </w:r>
      <w:r w:rsidRPr="00914DE9">
        <w:t xml:space="preserve"> is essentially current yield plus growth minus the risk-free rate.  </w:t>
      </w:r>
    </w:p>
    <w:p w14:paraId="005B606F" w14:textId="77777777" w:rsidR="002B6B1C" w:rsidRPr="00914DE9" w:rsidRDefault="002B6B1C" w:rsidP="00815A39">
      <w:pPr>
        <w:pStyle w:val="ListParagraph"/>
        <w:numPr>
          <w:ilvl w:val="0"/>
          <w:numId w:val="7"/>
        </w:numPr>
        <w:spacing w:after="120" w:line="240" w:lineRule="auto"/>
        <w:rPr>
          <w:rFonts w:ascii="Times New Roman" w:hAnsi="Times New Roman" w:cs="Times New Roman"/>
          <w:sz w:val="24"/>
          <w:szCs w:val="24"/>
        </w:rPr>
      </w:pPr>
      <w:proofErr w:type="spellStart"/>
      <w:proofErr w:type="gram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rp</w:t>
      </w:r>
      <w:proofErr w:type="spellEnd"/>
      <w:r w:rsidRPr="00914DE9">
        <w:rPr>
          <w:rFonts w:ascii="Times New Roman" w:hAnsi="Times New Roman" w:cs="Times New Roman"/>
          <w:sz w:val="24"/>
          <w:szCs w:val="24"/>
          <w:vertAlign w:val="subscript"/>
        </w:rPr>
        <w:t xml:space="preserve">  </w:t>
      </w:r>
      <w:r w:rsidRPr="00914DE9">
        <w:rPr>
          <w:rFonts w:ascii="Times New Roman" w:hAnsi="Times New Roman" w:cs="Times New Roman"/>
          <w:sz w:val="24"/>
          <w:szCs w:val="24"/>
        </w:rPr>
        <w:t>=</w:t>
      </w:r>
      <w:proofErr w:type="gramEnd"/>
      <w:r w:rsidRPr="00914DE9">
        <w:rPr>
          <w:rFonts w:ascii="Times New Roman" w:hAnsi="Times New Roman" w:cs="Times New Roman"/>
          <w:sz w:val="24"/>
          <w:szCs w:val="24"/>
        </w:rPr>
        <w:t xml:space="preserve"> CF</w:t>
      </w:r>
      <w:r w:rsidRPr="00914DE9">
        <w:rPr>
          <w:rFonts w:ascii="Times New Roman" w:hAnsi="Times New Roman" w:cs="Times New Roman"/>
          <w:sz w:val="24"/>
          <w:szCs w:val="24"/>
          <w:vertAlign w:val="subscript"/>
        </w:rPr>
        <w:t xml:space="preserve">1 </w:t>
      </w:r>
      <w:r w:rsidRPr="00914DE9">
        <w:rPr>
          <w:rFonts w:ascii="Times New Roman" w:hAnsi="Times New Roman" w:cs="Times New Roman"/>
          <w:sz w:val="24"/>
          <w:szCs w:val="24"/>
        </w:rPr>
        <w:t xml:space="preserve">/ P + g – </w:t>
      </w:r>
      <w:proofErr w:type="spell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f</w:t>
      </w:r>
      <w:proofErr w:type="spellEnd"/>
    </w:p>
    <w:p w14:paraId="4C8F3B6B" w14:textId="2AB4B009" w:rsidR="002B6B1C" w:rsidRPr="00914DE9" w:rsidRDefault="002B6B1C" w:rsidP="00815A39">
      <w:pPr>
        <w:spacing w:after="120"/>
      </w:pPr>
      <w:r w:rsidRPr="00914DE9">
        <w:t xml:space="preserve">For equities </w:t>
      </w:r>
      <w:r w:rsidR="00762C1F">
        <w:t>it makes sense</w:t>
      </w:r>
      <w:r w:rsidRPr="00914DE9">
        <w:t xml:space="preserve"> to work with P/E</w:t>
      </w:r>
      <w:r w:rsidR="00762C1F">
        <w:t xml:space="preserve"> (earnings)</w:t>
      </w:r>
      <w:r w:rsidRPr="00914DE9">
        <w:t xml:space="preserve"> ratios rather than P/D</w:t>
      </w:r>
      <w:r w:rsidR="00762C1F">
        <w:t xml:space="preserve"> (dividend)</w:t>
      </w:r>
      <w:r w:rsidRPr="00914DE9">
        <w:t xml:space="preserve"> ratios</w:t>
      </w:r>
      <w:r w:rsidR="008C47BC" w:rsidRPr="00914DE9">
        <w:t>.  In order to do this</w:t>
      </w:r>
      <w:r w:rsidRPr="00914DE9">
        <w:t xml:space="preserve">, g </w:t>
      </w:r>
      <w:r w:rsidR="00762C1F">
        <w:t xml:space="preserve">is restated </w:t>
      </w:r>
      <w:r w:rsidRPr="00914DE9">
        <w:t xml:space="preserve">as </w:t>
      </w:r>
      <w:proofErr w:type="spellStart"/>
      <w:r w:rsidRPr="00914DE9">
        <w:t>g</w:t>
      </w:r>
      <w:r w:rsidRPr="00914DE9">
        <w:rPr>
          <w:vertAlign w:val="subscript"/>
        </w:rPr>
        <w:t>ret</w:t>
      </w:r>
      <w:proofErr w:type="spellEnd"/>
      <w:r w:rsidRPr="00914DE9">
        <w:t xml:space="preserve"> + </w:t>
      </w:r>
      <w:proofErr w:type="spellStart"/>
      <w:r w:rsidRPr="00914DE9">
        <w:t>g</w:t>
      </w:r>
      <w:r w:rsidRPr="00914DE9">
        <w:rPr>
          <w:vertAlign w:val="subscript"/>
        </w:rPr>
        <w:t>add</w:t>
      </w:r>
      <w:proofErr w:type="spellEnd"/>
      <w:r w:rsidRPr="00914DE9">
        <w:t xml:space="preserve"> where </w:t>
      </w:r>
      <w:proofErr w:type="spellStart"/>
      <w:r w:rsidRPr="00914DE9">
        <w:t>g</w:t>
      </w:r>
      <w:r w:rsidRPr="00914DE9">
        <w:rPr>
          <w:vertAlign w:val="subscript"/>
        </w:rPr>
        <w:t>ret</w:t>
      </w:r>
      <w:proofErr w:type="spellEnd"/>
      <w:r w:rsidRPr="00914DE9">
        <w:t xml:space="preserve"> = (1 – payout ratio) x D/P </w:t>
      </w:r>
      <w:r w:rsidR="008C47BC" w:rsidRPr="00914DE9">
        <w:t xml:space="preserve">= retention ratio x D/P, </w:t>
      </w:r>
      <w:r w:rsidRPr="00914DE9">
        <w:t xml:space="preserve">and </w:t>
      </w:r>
      <w:proofErr w:type="spellStart"/>
      <w:r w:rsidRPr="00914DE9">
        <w:t>g</w:t>
      </w:r>
      <w:r w:rsidRPr="00914DE9">
        <w:rPr>
          <w:vertAlign w:val="subscript"/>
        </w:rPr>
        <w:t>add</w:t>
      </w:r>
      <w:proofErr w:type="spellEnd"/>
      <w:r w:rsidRPr="00914DE9">
        <w:t xml:space="preserve"> is any additional growth that the market expects can be financed out of retained earnings or otherwise.  Thus, we have equation (2)(e) for equities</w:t>
      </w:r>
    </w:p>
    <w:p w14:paraId="2DE76173" w14:textId="545E26A2" w:rsidR="002B6B1C" w:rsidRPr="00914DE9" w:rsidRDefault="002B6B1C" w:rsidP="00815A39">
      <w:pPr>
        <w:spacing w:after="120"/>
        <w:ind w:left="720"/>
      </w:pPr>
      <w:r w:rsidRPr="00914DE9">
        <w:t xml:space="preserve">(2)(e) </w:t>
      </w:r>
      <w:proofErr w:type="spellStart"/>
      <w:proofErr w:type="gramStart"/>
      <w:r w:rsidRPr="00914DE9">
        <w:t>r</w:t>
      </w:r>
      <w:r w:rsidRPr="00914DE9">
        <w:rPr>
          <w:vertAlign w:val="subscript"/>
        </w:rPr>
        <w:t>rp</w:t>
      </w:r>
      <w:proofErr w:type="spellEnd"/>
      <w:r w:rsidRPr="00914DE9">
        <w:rPr>
          <w:vertAlign w:val="subscript"/>
        </w:rPr>
        <w:t xml:space="preserve">  </w:t>
      </w:r>
      <w:r w:rsidRPr="00914DE9">
        <w:t>=</w:t>
      </w:r>
      <w:proofErr w:type="gramEnd"/>
      <w:r w:rsidRPr="00914DE9">
        <w:t xml:space="preserve"> E</w:t>
      </w:r>
      <w:r w:rsidR="008C47BC" w:rsidRPr="00914DE9">
        <w:rPr>
          <w:vertAlign w:val="subscript"/>
        </w:rPr>
        <w:t>1</w:t>
      </w:r>
      <w:r w:rsidRPr="00914DE9">
        <w:t xml:space="preserve">/P + </w:t>
      </w:r>
      <w:proofErr w:type="spellStart"/>
      <w:r w:rsidRPr="00914DE9">
        <w:t>g</w:t>
      </w:r>
      <w:r w:rsidRPr="00914DE9">
        <w:rPr>
          <w:vertAlign w:val="subscript"/>
        </w:rPr>
        <w:t>add</w:t>
      </w:r>
      <w:proofErr w:type="spellEnd"/>
      <w:r w:rsidRPr="00914DE9">
        <w:t xml:space="preserve"> – </w:t>
      </w:r>
      <w:proofErr w:type="spellStart"/>
      <w:r w:rsidRPr="00914DE9">
        <w:t>r</w:t>
      </w:r>
      <w:r w:rsidRPr="00914DE9">
        <w:rPr>
          <w:vertAlign w:val="subscript"/>
        </w:rPr>
        <w:t>f</w:t>
      </w:r>
      <w:proofErr w:type="spellEnd"/>
    </w:p>
    <w:p w14:paraId="247BD6FC" w14:textId="7C5DE938" w:rsidR="002B6B1C" w:rsidRPr="00914DE9" w:rsidRDefault="002B6B1C" w:rsidP="00815A39">
      <w:pPr>
        <w:spacing w:after="120"/>
      </w:pPr>
      <w:r w:rsidRPr="00914DE9">
        <w:t xml:space="preserve">Since (2) and (2)(e) have the same form, we will continue the mathematical development from equation (1) which uses the more general terms.  With it, we can develop the rationale for the risk sentiment metric.  Subtracting 1 / </w:t>
      </w:r>
      <w:proofErr w:type="spellStart"/>
      <w:r w:rsidRPr="00914DE9">
        <w:t>r</w:t>
      </w:r>
      <w:r w:rsidRPr="00914DE9">
        <w:rPr>
          <w:vertAlign w:val="subscript"/>
        </w:rPr>
        <w:t>rf</w:t>
      </w:r>
      <w:proofErr w:type="spellEnd"/>
      <w:r w:rsidRPr="00914DE9">
        <w:t xml:space="preserve"> from both sides of equation (1) and simplifying gives us a formula for the risk sentiment metric.</w:t>
      </w:r>
    </w:p>
    <w:p w14:paraId="3DF339BE" w14:textId="77777777" w:rsidR="002B6B1C" w:rsidRPr="00914DE9" w:rsidRDefault="002B6B1C" w:rsidP="00815A39">
      <w:pPr>
        <w:pStyle w:val="ListParagraph"/>
        <w:numPr>
          <w:ilvl w:val="0"/>
          <w:numId w:val="7"/>
        </w:numPr>
        <w:spacing w:after="120" w:line="240" w:lineRule="auto"/>
        <w:rPr>
          <w:rFonts w:ascii="Times New Roman" w:hAnsi="Times New Roman" w:cs="Times New Roman"/>
          <w:sz w:val="24"/>
          <w:szCs w:val="24"/>
        </w:rPr>
      </w:pPr>
      <w:r w:rsidRPr="00914DE9">
        <w:rPr>
          <w:rFonts w:ascii="Times New Roman" w:hAnsi="Times New Roman" w:cs="Times New Roman"/>
          <w:sz w:val="24"/>
          <w:szCs w:val="24"/>
        </w:rPr>
        <w:t>(P / CF</w:t>
      </w:r>
      <w:r w:rsidRPr="00914DE9">
        <w:rPr>
          <w:rFonts w:ascii="Times New Roman" w:hAnsi="Times New Roman" w:cs="Times New Roman"/>
          <w:sz w:val="24"/>
          <w:szCs w:val="24"/>
          <w:vertAlign w:val="subscript"/>
        </w:rPr>
        <w:t>1</w:t>
      </w:r>
      <w:r w:rsidRPr="00914DE9">
        <w:rPr>
          <w:rFonts w:ascii="Times New Roman" w:hAnsi="Times New Roman" w:cs="Times New Roman"/>
          <w:sz w:val="24"/>
          <w:szCs w:val="24"/>
        </w:rPr>
        <w:t xml:space="preserve"> – 1 / </w:t>
      </w:r>
      <w:proofErr w:type="spell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rf</w:t>
      </w:r>
      <w:proofErr w:type="spellEnd"/>
      <w:r w:rsidRPr="00914DE9">
        <w:rPr>
          <w:rFonts w:ascii="Times New Roman" w:hAnsi="Times New Roman" w:cs="Times New Roman"/>
          <w:sz w:val="24"/>
          <w:szCs w:val="24"/>
        </w:rPr>
        <w:t>) = – (</w:t>
      </w:r>
      <w:proofErr w:type="spell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rp</w:t>
      </w:r>
      <w:proofErr w:type="spellEnd"/>
      <w:r w:rsidRPr="00914DE9">
        <w:rPr>
          <w:rFonts w:ascii="Times New Roman" w:hAnsi="Times New Roman" w:cs="Times New Roman"/>
          <w:sz w:val="24"/>
          <w:szCs w:val="24"/>
        </w:rPr>
        <w:t xml:space="preserve"> – g)</w:t>
      </w:r>
      <w:r w:rsidRPr="00914DE9">
        <w:rPr>
          <w:rFonts w:ascii="Times New Roman" w:hAnsi="Times New Roman" w:cs="Times New Roman"/>
          <w:sz w:val="24"/>
          <w:szCs w:val="24"/>
          <w:vertAlign w:val="subscript"/>
        </w:rPr>
        <w:t xml:space="preserve"> </w:t>
      </w:r>
      <w:r w:rsidRPr="00914DE9">
        <w:rPr>
          <w:rFonts w:ascii="Times New Roman" w:hAnsi="Times New Roman" w:cs="Times New Roman"/>
          <w:sz w:val="24"/>
          <w:szCs w:val="24"/>
        </w:rPr>
        <w:t>/ [</w:t>
      </w:r>
      <w:proofErr w:type="spell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rf</w:t>
      </w:r>
      <w:proofErr w:type="spellEnd"/>
      <w:r w:rsidRPr="00914DE9">
        <w:rPr>
          <w:rFonts w:ascii="Times New Roman" w:hAnsi="Times New Roman" w:cs="Times New Roman"/>
          <w:sz w:val="24"/>
          <w:szCs w:val="24"/>
          <w:vertAlign w:val="subscript"/>
        </w:rPr>
        <w:t xml:space="preserve"> </w:t>
      </w:r>
      <w:r w:rsidRPr="00914DE9">
        <w:rPr>
          <w:rFonts w:ascii="Times New Roman" w:hAnsi="Times New Roman" w:cs="Times New Roman"/>
          <w:sz w:val="24"/>
          <w:szCs w:val="24"/>
          <w:vertAlign w:val="superscript"/>
        </w:rPr>
        <w:t xml:space="preserve">2 </w:t>
      </w:r>
      <w:r w:rsidRPr="00914DE9">
        <w:rPr>
          <w:rFonts w:ascii="Times New Roman" w:hAnsi="Times New Roman" w:cs="Times New Roman"/>
          <w:sz w:val="24"/>
          <w:szCs w:val="24"/>
        </w:rPr>
        <w:t xml:space="preserve">+ </w:t>
      </w:r>
      <w:proofErr w:type="spellStart"/>
      <w:proofErr w:type="gram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rf</w:t>
      </w:r>
      <w:proofErr w:type="spellEnd"/>
      <w:r w:rsidRPr="00914DE9">
        <w:rPr>
          <w:rFonts w:ascii="Times New Roman" w:hAnsi="Times New Roman" w:cs="Times New Roman"/>
          <w:sz w:val="24"/>
          <w:szCs w:val="24"/>
          <w:vertAlign w:val="subscript"/>
        </w:rPr>
        <w:t xml:space="preserve"> </w:t>
      </w:r>
      <w:r w:rsidRPr="00914DE9">
        <w:rPr>
          <w:rFonts w:ascii="Times New Roman" w:hAnsi="Times New Roman" w:cs="Times New Roman"/>
          <w:sz w:val="24"/>
          <w:szCs w:val="24"/>
        </w:rPr>
        <w:t xml:space="preserve"> x</w:t>
      </w:r>
      <w:proofErr w:type="gramEnd"/>
      <w:r w:rsidRPr="00914DE9">
        <w:rPr>
          <w:rFonts w:ascii="Times New Roman" w:hAnsi="Times New Roman" w:cs="Times New Roman"/>
          <w:sz w:val="24"/>
          <w:szCs w:val="24"/>
        </w:rPr>
        <w:t xml:space="preserve"> (</w:t>
      </w:r>
      <w:proofErr w:type="spellStart"/>
      <w:r w:rsidRPr="00914DE9">
        <w:rPr>
          <w:rFonts w:ascii="Times New Roman" w:hAnsi="Times New Roman" w:cs="Times New Roman"/>
          <w:sz w:val="24"/>
          <w:szCs w:val="24"/>
        </w:rPr>
        <w:t>r</w:t>
      </w:r>
      <w:r w:rsidRPr="00914DE9">
        <w:rPr>
          <w:rFonts w:ascii="Times New Roman" w:hAnsi="Times New Roman" w:cs="Times New Roman"/>
          <w:sz w:val="24"/>
          <w:szCs w:val="24"/>
          <w:vertAlign w:val="subscript"/>
        </w:rPr>
        <w:t>rp</w:t>
      </w:r>
      <w:proofErr w:type="spellEnd"/>
      <w:r w:rsidRPr="00914DE9">
        <w:rPr>
          <w:rFonts w:ascii="Times New Roman" w:hAnsi="Times New Roman" w:cs="Times New Roman"/>
          <w:sz w:val="24"/>
          <w:szCs w:val="24"/>
        </w:rPr>
        <w:t xml:space="preserve"> – g)]</w:t>
      </w:r>
    </w:p>
    <w:p w14:paraId="06B83A24" w14:textId="77777777" w:rsidR="002B6B1C" w:rsidRPr="00914DE9" w:rsidRDefault="002B6B1C" w:rsidP="00815A39">
      <w:pPr>
        <w:spacing w:after="120"/>
      </w:pPr>
      <w:r w:rsidRPr="00914DE9">
        <w:t>The point of showing this relationship is not to identify a definitive formula for the risk sentiment metric, but to support the concept and how it relates to other known concepts.  The (</w:t>
      </w:r>
      <w:proofErr w:type="spellStart"/>
      <w:r w:rsidRPr="00914DE9">
        <w:t>r</w:t>
      </w:r>
      <w:r w:rsidRPr="00914DE9">
        <w:rPr>
          <w:vertAlign w:val="subscript"/>
        </w:rPr>
        <w:t>rp</w:t>
      </w:r>
      <w:proofErr w:type="spellEnd"/>
      <w:r w:rsidRPr="00914DE9">
        <w:t xml:space="preserve"> – g) term is key.  Note that neither g nor </w:t>
      </w:r>
      <w:proofErr w:type="spellStart"/>
      <w:r w:rsidRPr="00914DE9">
        <w:t>r</w:t>
      </w:r>
      <w:r w:rsidRPr="00914DE9">
        <w:rPr>
          <w:vertAlign w:val="subscript"/>
        </w:rPr>
        <w:t>rp</w:t>
      </w:r>
      <w:proofErr w:type="spellEnd"/>
      <w:r w:rsidRPr="00914DE9">
        <w:rPr>
          <w:vertAlign w:val="subscript"/>
        </w:rPr>
        <w:t xml:space="preserve"> </w:t>
      </w:r>
      <w:r w:rsidRPr="00914DE9">
        <w:t>are easily determinable separately since they are both forward looking concepts, but (</w:t>
      </w:r>
      <w:proofErr w:type="spellStart"/>
      <w:r w:rsidRPr="00914DE9">
        <w:t>r</w:t>
      </w:r>
      <w:r w:rsidRPr="00914DE9">
        <w:rPr>
          <w:vertAlign w:val="subscript"/>
        </w:rPr>
        <w:t>rp</w:t>
      </w:r>
      <w:proofErr w:type="spellEnd"/>
      <w:r w:rsidRPr="00914DE9">
        <w:t xml:space="preserve"> – g) is determinable from P and r</w:t>
      </w:r>
      <w:r w:rsidRPr="00914DE9">
        <w:rPr>
          <w:vertAlign w:val="subscript"/>
        </w:rPr>
        <w:t>f</w:t>
      </w:r>
      <w:r w:rsidRPr="00914DE9">
        <w:t>.  The same impact occurs if growth estimates increase (g increases) or investors simply become more confident in the current level of growth expectation (</w:t>
      </w:r>
      <w:proofErr w:type="spellStart"/>
      <w:r w:rsidRPr="00914DE9">
        <w:t>r</w:t>
      </w:r>
      <w:r w:rsidRPr="00914DE9">
        <w:rPr>
          <w:vertAlign w:val="subscript"/>
        </w:rPr>
        <w:t>rp</w:t>
      </w:r>
      <w:proofErr w:type="spellEnd"/>
      <w:r w:rsidRPr="00914DE9">
        <w:t xml:space="preserve"> decreases).  That means that there is little value in determining the two items separately. </w:t>
      </w:r>
    </w:p>
    <w:p w14:paraId="36FB10B4" w14:textId="5DC1D3B1" w:rsidR="002B6B1C" w:rsidRPr="00914DE9" w:rsidRDefault="002B6B1C" w:rsidP="00815A39">
      <w:pPr>
        <w:spacing w:after="120"/>
      </w:pPr>
      <w:r w:rsidRPr="00914DE9">
        <w:t>The additive inverse of the (</w:t>
      </w:r>
      <w:proofErr w:type="spellStart"/>
      <w:r w:rsidRPr="00914DE9">
        <w:t>r</w:t>
      </w:r>
      <w:r w:rsidRPr="00914DE9">
        <w:rPr>
          <w:vertAlign w:val="subscript"/>
        </w:rPr>
        <w:t>rp</w:t>
      </w:r>
      <w:proofErr w:type="spellEnd"/>
      <w:r w:rsidRPr="00914DE9">
        <w:t xml:space="preserve"> – g) term is found in the numerator and </w:t>
      </w:r>
      <w:r w:rsidR="008C47BC" w:rsidRPr="00914DE9">
        <w:t>the term</w:t>
      </w:r>
      <w:r w:rsidRPr="00914DE9">
        <w:t xml:space="preserve"> is also in the denominator, always serving to increase sentiment when (</w:t>
      </w:r>
      <w:proofErr w:type="spellStart"/>
      <w:r w:rsidRPr="00914DE9">
        <w:t>r</w:t>
      </w:r>
      <w:r w:rsidRPr="00914DE9">
        <w:rPr>
          <w:vertAlign w:val="subscript"/>
        </w:rPr>
        <w:t>rp</w:t>
      </w:r>
      <w:proofErr w:type="spellEnd"/>
      <w:r w:rsidRPr="00914DE9">
        <w:t xml:space="preserve"> – g) drops.  The </w:t>
      </w:r>
      <w:proofErr w:type="spellStart"/>
      <w:proofErr w:type="gramStart"/>
      <w:r w:rsidRPr="00914DE9">
        <w:t>r</w:t>
      </w:r>
      <w:r w:rsidRPr="00914DE9">
        <w:rPr>
          <w:vertAlign w:val="subscript"/>
        </w:rPr>
        <w:t>f</w:t>
      </w:r>
      <w:proofErr w:type="spellEnd"/>
      <w:r w:rsidRPr="00914DE9">
        <w:rPr>
          <w:vertAlign w:val="subscript"/>
        </w:rPr>
        <w:t xml:space="preserve"> </w:t>
      </w:r>
      <w:r w:rsidRPr="00914DE9">
        <w:t xml:space="preserve"> term</w:t>
      </w:r>
      <w:proofErr w:type="gramEnd"/>
      <w:r w:rsidRPr="00914DE9">
        <w:t xml:space="preserve"> in formula (3) operates to create a kind of duration for sentiment – sentiment is less sensitive to changes in </w:t>
      </w:r>
      <w:proofErr w:type="spellStart"/>
      <w:r w:rsidRPr="00914DE9">
        <w:t>r</w:t>
      </w:r>
      <w:r w:rsidRPr="00914DE9">
        <w:rPr>
          <w:vertAlign w:val="subscript"/>
        </w:rPr>
        <w:t>rp</w:t>
      </w:r>
      <w:proofErr w:type="spellEnd"/>
      <w:r w:rsidRPr="00914DE9">
        <w:t xml:space="preserve">, g, and </w:t>
      </w:r>
      <w:proofErr w:type="spellStart"/>
      <w:r w:rsidRPr="00914DE9">
        <w:t>r</w:t>
      </w:r>
      <w:r w:rsidRPr="00914DE9">
        <w:rPr>
          <w:vertAlign w:val="subscript"/>
        </w:rPr>
        <w:t>rf</w:t>
      </w:r>
      <w:proofErr w:type="spellEnd"/>
      <w:r w:rsidRPr="00914DE9">
        <w:t xml:space="preserve"> when interest rates are high.  </w:t>
      </w:r>
    </w:p>
    <w:p w14:paraId="58BCABB2" w14:textId="77777777" w:rsidR="002B6B1C" w:rsidRPr="00914DE9" w:rsidRDefault="002B6B1C" w:rsidP="00815A39">
      <w:pPr>
        <w:spacing w:after="120"/>
      </w:pPr>
      <w:r w:rsidRPr="00914DE9">
        <w:lastRenderedPageBreak/>
        <w:t>Equation (3) confirms that the market risk sentiment metric is consistent with our intuition about other better-known financial market concepts:</w:t>
      </w:r>
    </w:p>
    <w:p w14:paraId="5913B17E" w14:textId="77777777" w:rsidR="002B6B1C" w:rsidRPr="00914DE9" w:rsidRDefault="002B6B1C" w:rsidP="002B6B1C">
      <w:pPr>
        <w:pStyle w:val="ListParagraph"/>
        <w:numPr>
          <w:ilvl w:val="0"/>
          <w:numId w:val="8"/>
        </w:numPr>
        <w:rPr>
          <w:rFonts w:ascii="Times New Roman" w:hAnsi="Times New Roman" w:cs="Times New Roman"/>
          <w:sz w:val="24"/>
          <w:szCs w:val="24"/>
        </w:rPr>
      </w:pPr>
      <w:r w:rsidRPr="00914DE9">
        <w:rPr>
          <w:rFonts w:ascii="Times New Roman" w:hAnsi="Times New Roman" w:cs="Times New Roman"/>
          <w:sz w:val="24"/>
          <w:szCs w:val="24"/>
        </w:rPr>
        <w:t xml:space="preserve">When growth expectations increase, price and therefore sentiment increase. </w:t>
      </w:r>
    </w:p>
    <w:p w14:paraId="638D02D7" w14:textId="77777777" w:rsidR="002B6B1C" w:rsidRPr="00914DE9" w:rsidRDefault="002B6B1C" w:rsidP="002B6B1C">
      <w:pPr>
        <w:pStyle w:val="ListParagraph"/>
        <w:numPr>
          <w:ilvl w:val="0"/>
          <w:numId w:val="8"/>
        </w:numPr>
        <w:rPr>
          <w:rFonts w:ascii="Times New Roman" w:hAnsi="Times New Roman" w:cs="Times New Roman"/>
          <w:sz w:val="24"/>
          <w:szCs w:val="24"/>
        </w:rPr>
      </w:pPr>
      <w:r w:rsidRPr="00914DE9">
        <w:rPr>
          <w:rFonts w:ascii="Times New Roman" w:hAnsi="Times New Roman" w:cs="Times New Roman"/>
          <w:sz w:val="24"/>
          <w:szCs w:val="24"/>
        </w:rPr>
        <w:t>Sentiment is negatively correlated with the risk premium in a market.  For example, if investors become more confident about future earnings growth or some segment of investors increases their holdings in the market, then the sentiment metric increases as prices increase and the risk premium drops.</w:t>
      </w:r>
    </w:p>
    <w:p w14:paraId="769BFCEC" w14:textId="2DF56BAC" w:rsidR="002B6B1C" w:rsidRPr="00914DE9" w:rsidRDefault="002B6B1C" w:rsidP="002B6B1C">
      <w:pPr>
        <w:pStyle w:val="ListParagraph"/>
        <w:numPr>
          <w:ilvl w:val="0"/>
          <w:numId w:val="8"/>
        </w:numPr>
        <w:rPr>
          <w:rFonts w:ascii="Times New Roman" w:hAnsi="Times New Roman" w:cs="Times New Roman"/>
          <w:sz w:val="24"/>
          <w:szCs w:val="24"/>
        </w:rPr>
      </w:pPr>
      <w:r w:rsidRPr="00914DE9">
        <w:rPr>
          <w:rFonts w:ascii="Times New Roman" w:hAnsi="Times New Roman" w:cs="Times New Roman"/>
          <w:sz w:val="24"/>
          <w:szCs w:val="24"/>
        </w:rPr>
        <w:t>If growth expectations increase without a corresponding increase in prices, then typically the risk-free rate has increased – the phenomenon</w:t>
      </w:r>
      <w:r w:rsidR="003F51D6">
        <w:rPr>
          <w:rFonts w:ascii="Times New Roman" w:hAnsi="Times New Roman" w:cs="Times New Roman"/>
          <w:sz w:val="24"/>
          <w:szCs w:val="24"/>
        </w:rPr>
        <w:t xml:space="preserve"> of negative correlation between sentiment and interest rates</w:t>
      </w:r>
      <w:r w:rsidRPr="00914DE9">
        <w:rPr>
          <w:rFonts w:ascii="Times New Roman" w:hAnsi="Times New Roman" w:cs="Times New Roman"/>
          <w:sz w:val="24"/>
          <w:szCs w:val="24"/>
        </w:rPr>
        <w:t xml:space="preserve"> discussed in the Equity Prices and Interest Rates section. </w:t>
      </w:r>
    </w:p>
    <w:p w14:paraId="33B2EAAB" w14:textId="377BFEC6" w:rsidR="002B6B1C" w:rsidRPr="00914DE9" w:rsidRDefault="002B6B1C" w:rsidP="00815A39">
      <w:pPr>
        <w:spacing w:after="120"/>
      </w:pPr>
      <w:r w:rsidRPr="00914DE9">
        <w:t>Note that the timing designation for the cash flow can be ignored since it has little impact on the metric, even for equities.  For equities, based on the reasoning behind formula (2)(e) we can take advantage of the cyclically adjusted price measure, CAPE, to create a convenient way to calculate equity risk sentiment (ERS):</w:t>
      </w:r>
    </w:p>
    <w:p w14:paraId="2B70B249" w14:textId="77777777" w:rsidR="00762C1F" w:rsidRDefault="002B6B1C" w:rsidP="00762C1F">
      <w:pPr>
        <w:ind w:left="720"/>
      </w:pPr>
      <w:r w:rsidRPr="00914DE9">
        <w:tab/>
        <w:t>Equity Risk Sentiment (ERS) = CAPE - 1 / 10YrT</w:t>
      </w:r>
      <w:r w:rsidR="00762C1F">
        <w:t xml:space="preserve">, </w:t>
      </w:r>
    </w:p>
    <w:p w14:paraId="71E15F8F" w14:textId="273806FC" w:rsidR="002B6B1C" w:rsidRPr="00914DE9" w:rsidRDefault="00762C1F" w:rsidP="00762C1F">
      <w:pPr>
        <w:spacing w:after="120"/>
        <w:ind w:left="1440"/>
      </w:pPr>
      <w:r>
        <w:t xml:space="preserve">where </w:t>
      </w:r>
      <w:r w:rsidRPr="00914DE9">
        <w:t>10YrT</w:t>
      </w:r>
      <w:r>
        <w:t xml:space="preserve"> is the yield to maturity on the 10-year Treasury bond.</w:t>
      </w:r>
    </w:p>
    <w:p w14:paraId="6E1BEF0D" w14:textId="4FDADF4A" w:rsidR="002B6B1C" w:rsidRDefault="002B6B1C" w:rsidP="00815A39">
      <w:pPr>
        <w:spacing w:after="120"/>
      </w:pPr>
      <w:r w:rsidRPr="00914DE9">
        <w:t>In other words, sentiment is represented by a price concept for the asset minus a price concept (price is the inverse of yield) for the risk-free asset.  Since this will generally be a negative number, we adjust the metric to be centered close to zero.  In the case of ERS with the full dataset, adding 10 centers the metric at about 0 and puts about half the observations (63) over the past 138 years above 0.   The additive factor is adjusted depending on the overall level of ERS derived from a particular dataset.</w:t>
      </w:r>
    </w:p>
    <w:p w14:paraId="1AB4FFA3" w14:textId="35FB6BEC" w:rsidR="007D4267" w:rsidRDefault="007D4267" w:rsidP="00815A39">
      <w:pPr>
        <w:spacing w:after="120"/>
      </w:pPr>
      <w:r>
        <w:br w:type="page"/>
      </w:r>
    </w:p>
    <w:p w14:paraId="7B8902E0" w14:textId="77777777" w:rsidR="007D4267" w:rsidRDefault="007D4267" w:rsidP="002B6B1C">
      <w:pPr>
        <w:sectPr w:rsidR="007D4267" w:rsidSect="00C3045C">
          <w:pgSz w:w="12240" w:h="15840"/>
          <w:pgMar w:top="1440" w:right="1440" w:bottom="1440" w:left="1440" w:header="720" w:footer="720" w:gutter="0"/>
          <w:cols w:space="720"/>
          <w:docGrid w:linePitch="360"/>
        </w:sectPr>
      </w:pPr>
    </w:p>
    <w:p w14:paraId="0968050B" w14:textId="76963555" w:rsidR="00370BC3" w:rsidRDefault="00370BC3" w:rsidP="002B6B1C"/>
    <w:p w14:paraId="020FB751" w14:textId="1035215D" w:rsidR="00370BC3" w:rsidRPr="00370BC3" w:rsidRDefault="00370BC3" w:rsidP="002B6B1C">
      <w:pPr>
        <w:rPr>
          <w:b/>
        </w:rPr>
      </w:pPr>
      <w:r w:rsidRPr="00370BC3">
        <w:rPr>
          <w:b/>
        </w:rPr>
        <w:t>TABLE 1</w:t>
      </w:r>
    </w:p>
    <w:tbl>
      <w:tblPr>
        <w:tblW w:w="5580" w:type="dxa"/>
        <w:tblLook w:val="04A0" w:firstRow="1" w:lastRow="0" w:firstColumn="1" w:lastColumn="0" w:noHBand="0" w:noVBand="1"/>
      </w:tblPr>
      <w:tblGrid>
        <w:gridCol w:w="1440"/>
        <w:gridCol w:w="2070"/>
        <w:gridCol w:w="2070"/>
      </w:tblGrid>
      <w:tr w:rsidR="00370BC3" w:rsidRPr="00B31A73" w14:paraId="1EACA751" w14:textId="77777777" w:rsidTr="00370BC3">
        <w:trPr>
          <w:trHeight w:val="320"/>
        </w:trPr>
        <w:tc>
          <w:tcPr>
            <w:tcW w:w="1440" w:type="dxa"/>
            <w:tcBorders>
              <w:top w:val="nil"/>
              <w:left w:val="nil"/>
              <w:bottom w:val="nil"/>
              <w:right w:val="nil"/>
            </w:tcBorders>
            <w:shd w:val="clear" w:color="auto" w:fill="auto"/>
            <w:noWrap/>
            <w:vAlign w:val="bottom"/>
            <w:hideMark/>
          </w:tcPr>
          <w:p w14:paraId="1854E4DB" w14:textId="77777777" w:rsidR="00370BC3" w:rsidRPr="00B31A73" w:rsidRDefault="00370BC3" w:rsidP="00222567"/>
        </w:tc>
        <w:tc>
          <w:tcPr>
            <w:tcW w:w="4140" w:type="dxa"/>
            <w:gridSpan w:val="2"/>
            <w:tcBorders>
              <w:top w:val="nil"/>
              <w:left w:val="nil"/>
              <w:bottom w:val="single" w:sz="4" w:space="0" w:color="auto"/>
              <w:right w:val="nil"/>
            </w:tcBorders>
            <w:shd w:val="clear" w:color="auto" w:fill="auto"/>
            <w:noWrap/>
            <w:vAlign w:val="bottom"/>
            <w:hideMark/>
          </w:tcPr>
          <w:p w14:paraId="0BDC54C4" w14:textId="774BCE01" w:rsidR="00370BC3" w:rsidRPr="00B31A73" w:rsidRDefault="00370BC3" w:rsidP="00222567">
            <w:pPr>
              <w:jc w:val="center"/>
            </w:pPr>
            <w:r w:rsidRPr="00B31A73">
              <w:t>Correlation (1881 - 2018)</w:t>
            </w:r>
          </w:p>
        </w:tc>
      </w:tr>
      <w:tr w:rsidR="00370BC3" w:rsidRPr="00B31A73" w14:paraId="581618AB" w14:textId="77777777" w:rsidTr="00370BC3">
        <w:trPr>
          <w:trHeight w:val="380"/>
        </w:trPr>
        <w:tc>
          <w:tcPr>
            <w:tcW w:w="1440" w:type="dxa"/>
            <w:tcBorders>
              <w:top w:val="nil"/>
              <w:left w:val="nil"/>
              <w:bottom w:val="nil"/>
              <w:right w:val="nil"/>
            </w:tcBorders>
            <w:shd w:val="clear" w:color="auto" w:fill="auto"/>
            <w:vAlign w:val="bottom"/>
            <w:hideMark/>
          </w:tcPr>
          <w:p w14:paraId="609B862C" w14:textId="77777777" w:rsidR="00370BC3" w:rsidRPr="00B31A73" w:rsidRDefault="00370BC3" w:rsidP="00222567">
            <w:pPr>
              <w:jc w:val="center"/>
              <w:rPr>
                <w:u w:val="single"/>
              </w:rPr>
            </w:pPr>
            <w:r w:rsidRPr="00B31A73">
              <w:rPr>
                <w:u w:val="single"/>
              </w:rPr>
              <w:t>Rate Level</w:t>
            </w:r>
          </w:p>
        </w:tc>
        <w:tc>
          <w:tcPr>
            <w:tcW w:w="2070" w:type="dxa"/>
            <w:tcBorders>
              <w:top w:val="nil"/>
              <w:left w:val="nil"/>
              <w:bottom w:val="nil"/>
              <w:right w:val="nil"/>
            </w:tcBorders>
            <w:shd w:val="clear" w:color="auto" w:fill="auto"/>
            <w:vAlign w:val="bottom"/>
            <w:hideMark/>
          </w:tcPr>
          <w:p w14:paraId="49772538" w14:textId="77777777" w:rsidR="00370BC3" w:rsidRPr="00B31A73" w:rsidRDefault="00370BC3" w:rsidP="00222567">
            <w:pPr>
              <w:jc w:val="center"/>
              <w:rPr>
                <w:u w:val="single"/>
              </w:rPr>
            </w:pPr>
            <w:r w:rsidRPr="00B31A73">
              <w:rPr>
                <w:u w:val="single"/>
              </w:rPr>
              <w:t>10YrT with CAPE</w:t>
            </w:r>
          </w:p>
        </w:tc>
        <w:tc>
          <w:tcPr>
            <w:tcW w:w="2070" w:type="dxa"/>
            <w:tcBorders>
              <w:top w:val="nil"/>
              <w:left w:val="nil"/>
              <w:bottom w:val="nil"/>
              <w:right w:val="nil"/>
            </w:tcBorders>
            <w:shd w:val="clear" w:color="auto" w:fill="auto"/>
            <w:vAlign w:val="bottom"/>
            <w:hideMark/>
          </w:tcPr>
          <w:p w14:paraId="7ADBAA02" w14:textId="77777777" w:rsidR="00370BC3" w:rsidRPr="00B31A73" w:rsidRDefault="00370BC3" w:rsidP="00222567">
            <w:pPr>
              <w:jc w:val="center"/>
              <w:rPr>
                <w:u w:val="single"/>
              </w:rPr>
            </w:pPr>
            <w:r w:rsidRPr="00B31A73">
              <w:rPr>
                <w:u w:val="single"/>
              </w:rPr>
              <w:t>10YrT with ERS</w:t>
            </w:r>
          </w:p>
        </w:tc>
      </w:tr>
      <w:tr w:rsidR="00370BC3" w:rsidRPr="00B31A73" w14:paraId="7011EF2C" w14:textId="77777777" w:rsidTr="00370BC3">
        <w:trPr>
          <w:trHeight w:val="260"/>
        </w:trPr>
        <w:tc>
          <w:tcPr>
            <w:tcW w:w="1440" w:type="dxa"/>
            <w:tcBorders>
              <w:top w:val="nil"/>
              <w:left w:val="nil"/>
              <w:bottom w:val="nil"/>
              <w:right w:val="nil"/>
            </w:tcBorders>
            <w:shd w:val="clear" w:color="auto" w:fill="auto"/>
            <w:noWrap/>
            <w:vAlign w:val="bottom"/>
            <w:hideMark/>
          </w:tcPr>
          <w:p w14:paraId="62BD4165" w14:textId="77777777" w:rsidR="00370BC3" w:rsidRPr="00B31A73" w:rsidRDefault="00370BC3" w:rsidP="00222567">
            <w:pPr>
              <w:jc w:val="center"/>
            </w:pPr>
            <w:r w:rsidRPr="00B31A73">
              <w:t>0% - 7%</w:t>
            </w:r>
          </w:p>
        </w:tc>
        <w:tc>
          <w:tcPr>
            <w:tcW w:w="2070" w:type="dxa"/>
            <w:tcBorders>
              <w:top w:val="nil"/>
              <w:left w:val="nil"/>
              <w:bottom w:val="nil"/>
              <w:right w:val="nil"/>
            </w:tcBorders>
            <w:shd w:val="clear" w:color="auto" w:fill="auto"/>
            <w:noWrap/>
            <w:vAlign w:val="bottom"/>
            <w:hideMark/>
          </w:tcPr>
          <w:p w14:paraId="1182A167" w14:textId="77777777" w:rsidR="00370BC3" w:rsidRPr="00B31A73" w:rsidRDefault="00370BC3" w:rsidP="00222567">
            <w:pPr>
              <w:jc w:val="center"/>
            </w:pPr>
            <w:r w:rsidRPr="00B31A73">
              <w:t>25%</w:t>
            </w:r>
          </w:p>
        </w:tc>
        <w:tc>
          <w:tcPr>
            <w:tcW w:w="2070" w:type="dxa"/>
            <w:tcBorders>
              <w:top w:val="nil"/>
              <w:left w:val="nil"/>
              <w:bottom w:val="nil"/>
              <w:right w:val="nil"/>
            </w:tcBorders>
            <w:shd w:val="clear" w:color="auto" w:fill="auto"/>
            <w:noWrap/>
            <w:vAlign w:val="bottom"/>
            <w:hideMark/>
          </w:tcPr>
          <w:p w14:paraId="5B769A7F" w14:textId="77777777" w:rsidR="00370BC3" w:rsidRPr="00B31A73" w:rsidRDefault="00370BC3" w:rsidP="00222567">
            <w:pPr>
              <w:jc w:val="center"/>
            </w:pPr>
            <w:r w:rsidRPr="00B31A73">
              <w:t>82%</w:t>
            </w:r>
          </w:p>
        </w:tc>
      </w:tr>
      <w:tr w:rsidR="00370BC3" w:rsidRPr="00B31A73" w14:paraId="0BC6A082" w14:textId="77777777" w:rsidTr="00370BC3">
        <w:trPr>
          <w:trHeight w:val="260"/>
        </w:trPr>
        <w:tc>
          <w:tcPr>
            <w:tcW w:w="1440" w:type="dxa"/>
            <w:tcBorders>
              <w:top w:val="nil"/>
              <w:left w:val="nil"/>
              <w:bottom w:val="nil"/>
              <w:right w:val="nil"/>
            </w:tcBorders>
            <w:shd w:val="clear" w:color="auto" w:fill="auto"/>
            <w:noWrap/>
            <w:vAlign w:val="bottom"/>
            <w:hideMark/>
          </w:tcPr>
          <w:p w14:paraId="7B11608B" w14:textId="77777777" w:rsidR="00370BC3" w:rsidRPr="00B31A73" w:rsidRDefault="00370BC3" w:rsidP="00222567">
            <w:pPr>
              <w:jc w:val="center"/>
            </w:pPr>
            <w:r w:rsidRPr="00B31A73">
              <w:t>7% - 15%</w:t>
            </w:r>
          </w:p>
        </w:tc>
        <w:tc>
          <w:tcPr>
            <w:tcW w:w="2070" w:type="dxa"/>
            <w:tcBorders>
              <w:top w:val="nil"/>
              <w:left w:val="nil"/>
              <w:bottom w:val="nil"/>
              <w:right w:val="nil"/>
            </w:tcBorders>
            <w:shd w:val="clear" w:color="auto" w:fill="auto"/>
            <w:noWrap/>
            <w:vAlign w:val="bottom"/>
            <w:hideMark/>
          </w:tcPr>
          <w:p w14:paraId="64B1B48C" w14:textId="77777777" w:rsidR="00370BC3" w:rsidRPr="00B31A73" w:rsidRDefault="00370BC3" w:rsidP="00222567">
            <w:pPr>
              <w:jc w:val="center"/>
            </w:pPr>
            <w:r w:rsidRPr="00B31A73">
              <w:t>-61%</w:t>
            </w:r>
          </w:p>
        </w:tc>
        <w:tc>
          <w:tcPr>
            <w:tcW w:w="2070" w:type="dxa"/>
            <w:tcBorders>
              <w:top w:val="nil"/>
              <w:left w:val="nil"/>
              <w:bottom w:val="nil"/>
              <w:right w:val="nil"/>
            </w:tcBorders>
            <w:shd w:val="clear" w:color="auto" w:fill="auto"/>
            <w:noWrap/>
            <w:vAlign w:val="bottom"/>
            <w:hideMark/>
          </w:tcPr>
          <w:p w14:paraId="10684909" w14:textId="77777777" w:rsidR="00370BC3" w:rsidRPr="00B31A73" w:rsidRDefault="00370BC3" w:rsidP="00222567">
            <w:pPr>
              <w:jc w:val="center"/>
            </w:pPr>
            <w:r w:rsidRPr="00B31A73">
              <w:t>-8%</w:t>
            </w:r>
          </w:p>
        </w:tc>
      </w:tr>
    </w:tbl>
    <w:p w14:paraId="629C1169" w14:textId="2B80BFB9" w:rsidR="009313C3" w:rsidRDefault="00104DD0" w:rsidP="002B6B1C">
      <w:r w:rsidRPr="00B31A73">
        <w:rPr>
          <w:noProof/>
        </w:rPr>
        <mc:AlternateContent>
          <mc:Choice Requires="wps">
            <w:drawing>
              <wp:anchor distT="0" distB="0" distL="114300" distR="114300" simplePos="0" relativeHeight="251665408" behindDoc="0" locked="0" layoutInCell="1" allowOverlap="1" wp14:anchorId="0547E424" wp14:editId="1EA0A2A1">
                <wp:simplePos x="0" y="0"/>
                <wp:positionH relativeFrom="column">
                  <wp:posOffset>1</wp:posOffset>
                </wp:positionH>
                <wp:positionV relativeFrom="paragraph">
                  <wp:posOffset>-726</wp:posOffset>
                </wp:positionV>
                <wp:extent cx="4237264" cy="367393"/>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4237264" cy="367393"/>
                        </a:xfrm>
                        <a:prstGeom prst="rect">
                          <a:avLst/>
                        </a:prstGeom>
                        <a:solidFill>
                          <a:schemeClr val="lt1"/>
                        </a:solidFill>
                        <a:ln w="6350">
                          <a:noFill/>
                        </a:ln>
                      </wps:spPr>
                      <wps:txbx>
                        <w:txbxContent>
                          <w:p w14:paraId="46136E42" w14:textId="54F5C9B2" w:rsidR="00104DD0" w:rsidRPr="000F57FF" w:rsidRDefault="00104DD0" w:rsidP="00104DD0">
                            <w:pPr>
                              <w:rPr>
                                <w:sz w:val="18"/>
                                <w:szCs w:val="20"/>
                              </w:rPr>
                            </w:pPr>
                            <w:r w:rsidRPr="000F57FF">
                              <w:rPr>
                                <w:sz w:val="18"/>
                                <w:szCs w:val="20"/>
                              </w:rPr>
                              <w:t>Source: Robert Shiller Data, author’s calculations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7E424" id="_x0000_t202" coordsize="21600,21600" o:spt="202" path="m,l,21600r21600,l21600,xe">
                <v:stroke joinstyle="miter"/>
                <v:path gradientshapeok="t" o:connecttype="rect"/>
              </v:shapetype>
              <v:shape id="Text Box 6" o:spid="_x0000_s1026" type="#_x0000_t202" style="position:absolute;margin-left:0;margin-top:-.05pt;width:333.65pt;height:2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" fillcolor="white [3201]" stroked="f" strokeweight=".5pt">
                <v:textbox>
                  <w:txbxContent>
                    <w:p w14:paraId="46136E42" w14:textId="54F5C9B2" w:rsidR="00104DD0" w:rsidRPr="000F57FF" w:rsidRDefault="00104DD0" w:rsidP="00104DD0">
                      <w:pPr>
                        <w:rPr>
                          <w:sz w:val="18"/>
                          <w:szCs w:val="20"/>
                        </w:rPr>
                      </w:pPr>
                      <w:r w:rsidRPr="000F57FF">
                        <w:rPr>
                          <w:sz w:val="18"/>
                          <w:szCs w:val="20"/>
                        </w:rPr>
                        <w:t>Source: Robert Shiller Data, author’s calculations</w:t>
                      </w:r>
                    </w:p>
                  </w:txbxContent>
                </v:textbox>
              </v:shape>
            </w:pict>
          </mc:Fallback>
        </mc:AlternateContent>
      </w:r>
    </w:p>
    <w:p w14:paraId="2C87481C" w14:textId="77777777" w:rsidR="009313C3" w:rsidRDefault="009313C3">
      <w:r>
        <w:br w:type="page"/>
      </w:r>
    </w:p>
    <w:p w14:paraId="616054F3" w14:textId="46DAB83D" w:rsidR="00370BC3" w:rsidRPr="00370BC3" w:rsidRDefault="00370BC3" w:rsidP="009313C3">
      <w:pPr>
        <w:keepLines/>
        <w:rPr>
          <w:b/>
        </w:rPr>
      </w:pPr>
      <w:r w:rsidRPr="00370BC3">
        <w:rPr>
          <w:b/>
        </w:rPr>
        <w:lastRenderedPageBreak/>
        <w:t>TABLE 2</w:t>
      </w:r>
    </w:p>
    <w:tbl>
      <w:tblPr>
        <w:tblW w:w="10900" w:type="dxa"/>
        <w:tblLook w:val="04A0" w:firstRow="1" w:lastRow="0" w:firstColumn="1" w:lastColumn="0" w:noHBand="0" w:noVBand="1"/>
      </w:tblPr>
      <w:tblGrid>
        <w:gridCol w:w="1740"/>
        <w:gridCol w:w="2360"/>
        <w:gridCol w:w="2360"/>
        <w:gridCol w:w="2220"/>
        <w:gridCol w:w="2220"/>
      </w:tblGrid>
      <w:tr w:rsidR="00370BC3" w:rsidRPr="00B31A73" w14:paraId="1A8FA07D" w14:textId="77777777" w:rsidTr="00222567">
        <w:trPr>
          <w:trHeight w:val="320"/>
        </w:trPr>
        <w:tc>
          <w:tcPr>
            <w:tcW w:w="1740" w:type="dxa"/>
            <w:tcBorders>
              <w:top w:val="nil"/>
              <w:left w:val="nil"/>
              <w:bottom w:val="nil"/>
              <w:right w:val="nil"/>
            </w:tcBorders>
            <w:shd w:val="clear" w:color="auto" w:fill="auto"/>
            <w:noWrap/>
            <w:vAlign w:val="bottom"/>
            <w:hideMark/>
          </w:tcPr>
          <w:p w14:paraId="12D6EE7A" w14:textId="77777777" w:rsidR="00370BC3" w:rsidRPr="00B31A73" w:rsidRDefault="00370BC3" w:rsidP="009313C3">
            <w:pPr>
              <w:keepLines/>
            </w:pPr>
          </w:p>
        </w:tc>
        <w:tc>
          <w:tcPr>
            <w:tcW w:w="9160" w:type="dxa"/>
            <w:gridSpan w:val="4"/>
            <w:tcBorders>
              <w:top w:val="nil"/>
              <w:left w:val="nil"/>
              <w:bottom w:val="single" w:sz="4" w:space="0" w:color="auto"/>
              <w:right w:val="nil"/>
            </w:tcBorders>
            <w:shd w:val="clear" w:color="auto" w:fill="auto"/>
            <w:noWrap/>
            <w:vAlign w:val="bottom"/>
            <w:hideMark/>
          </w:tcPr>
          <w:p w14:paraId="5A877B3C" w14:textId="192FBB67" w:rsidR="00370BC3" w:rsidRPr="00B31A73" w:rsidRDefault="00370BC3" w:rsidP="009313C3">
            <w:pPr>
              <w:keepLines/>
              <w:jc w:val="center"/>
            </w:pPr>
            <w:r w:rsidRPr="00B31A73">
              <w:t xml:space="preserve">Correlation (1881 </w:t>
            </w:r>
            <w:proofErr w:type="gramStart"/>
            <w:r w:rsidRPr="00B31A73">
              <w:t>- )</w:t>
            </w:r>
            <w:proofErr w:type="gramEnd"/>
          </w:p>
        </w:tc>
      </w:tr>
      <w:tr w:rsidR="00370BC3" w:rsidRPr="00B31A73" w14:paraId="16E19387" w14:textId="77777777" w:rsidTr="00222567">
        <w:trPr>
          <w:trHeight w:val="1120"/>
        </w:trPr>
        <w:tc>
          <w:tcPr>
            <w:tcW w:w="1740" w:type="dxa"/>
            <w:tcBorders>
              <w:top w:val="nil"/>
              <w:left w:val="nil"/>
              <w:bottom w:val="nil"/>
              <w:right w:val="nil"/>
            </w:tcBorders>
            <w:shd w:val="clear" w:color="auto" w:fill="auto"/>
            <w:vAlign w:val="bottom"/>
            <w:hideMark/>
          </w:tcPr>
          <w:p w14:paraId="130CA046" w14:textId="153F818B" w:rsidR="00370BC3" w:rsidRPr="00B31A73" w:rsidRDefault="00222567" w:rsidP="009313C3">
            <w:pPr>
              <w:keepLines/>
              <w:jc w:val="center"/>
            </w:pPr>
            <w:r>
              <w:t xml:space="preserve">Forecast </w:t>
            </w:r>
            <w:r w:rsidR="00370BC3" w:rsidRPr="00B31A73">
              <w:t>period</w:t>
            </w:r>
          </w:p>
        </w:tc>
        <w:tc>
          <w:tcPr>
            <w:tcW w:w="2360" w:type="dxa"/>
            <w:tcBorders>
              <w:top w:val="nil"/>
              <w:left w:val="nil"/>
              <w:bottom w:val="nil"/>
              <w:right w:val="nil"/>
            </w:tcBorders>
            <w:shd w:val="clear" w:color="auto" w:fill="auto"/>
            <w:vAlign w:val="bottom"/>
            <w:hideMark/>
          </w:tcPr>
          <w:p w14:paraId="666D4E22" w14:textId="77777777" w:rsidR="00370BC3" w:rsidRPr="00B31A73" w:rsidRDefault="00370BC3" w:rsidP="009313C3">
            <w:pPr>
              <w:keepLines/>
              <w:jc w:val="center"/>
            </w:pPr>
            <w:r w:rsidRPr="00B31A73">
              <w:t>Subsequent excess equity return over 10-year Treasury return with ERS</w:t>
            </w:r>
          </w:p>
        </w:tc>
        <w:tc>
          <w:tcPr>
            <w:tcW w:w="2360" w:type="dxa"/>
            <w:tcBorders>
              <w:top w:val="nil"/>
              <w:left w:val="nil"/>
              <w:bottom w:val="nil"/>
              <w:right w:val="nil"/>
            </w:tcBorders>
            <w:shd w:val="clear" w:color="auto" w:fill="auto"/>
            <w:vAlign w:val="bottom"/>
            <w:hideMark/>
          </w:tcPr>
          <w:p w14:paraId="0A5B4ABE" w14:textId="77777777" w:rsidR="00370BC3" w:rsidRPr="00B31A73" w:rsidRDefault="00370BC3" w:rsidP="009313C3">
            <w:pPr>
              <w:keepLines/>
              <w:jc w:val="center"/>
            </w:pPr>
            <w:r w:rsidRPr="00B31A73">
              <w:t>Subsequent excess equity return over 10-year Treasury return with CAPE</w:t>
            </w:r>
          </w:p>
        </w:tc>
        <w:tc>
          <w:tcPr>
            <w:tcW w:w="2220" w:type="dxa"/>
            <w:tcBorders>
              <w:top w:val="nil"/>
              <w:left w:val="nil"/>
              <w:bottom w:val="nil"/>
              <w:right w:val="nil"/>
            </w:tcBorders>
            <w:shd w:val="clear" w:color="auto" w:fill="auto"/>
            <w:vAlign w:val="bottom"/>
            <w:hideMark/>
          </w:tcPr>
          <w:p w14:paraId="6B4F0D13" w14:textId="07FDE218" w:rsidR="00370BC3" w:rsidRPr="00B31A73" w:rsidRDefault="00370BC3" w:rsidP="009313C3">
            <w:pPr>
              <w:keepLines/>
              <w:jc w:val="center"/>
            </w:pPr>
            <w:r w:rsidRPr="00B31A73">
              <w:t xml:space="preserve">Subsequent equity </w:t>
            </w:r>
            <w:proofErr w:type="gramStart"/>
            <w:r w:rsidRPr="00B31A73">
              <w:t>return</w:t>
            </w:r>
            <w:proofErr w:type="gramEnd"/>
            <w:r w:rsidRPr="00B31A73">
              <w:t xml:space="preserve"> with </w:t>
            </w:r>
            <w:r w:rsidR="005445AD">
              <w:t xml:space="preserve">nominal </w:t>
            </w:r>
            <w:r w:rsidRPr="00B31A73">
              <w:t>return predicted by ERS</w:t>
            </w:r>
          </w:p>
        </w:tc>
        <w:tc>
          <w:tcPr>
            <w:tcW w:w="2220" w:type="dxa"/>
            <w:tcBorders>
              <w:top w:val="nil"/>
              <w:left w:val="nil"/>
              <w:bottom w:val="nil"/>
              <w:right w:val="nil"/>
            </w:tcBorders>
            <w:shd w:val="clear" w:color="auto" w:fill="auto"/>
            <w:vAlign w:val="bottom"/>
            <w:hideMark/>
          </w:tcPr>
          <w:p w14:paraId="52B578A1" w14:textId="6964449F" w:rsidR="00370BC3" w:rsidRPr="00B31A73" w:rsidRDefault="00370BC3" w:rsidP="009313C3">
            <w:pPr>
              <w:keepLines/>
              <w:jc w:val="center"/>
            </w:pPr>
            <w:r w:rsidRPr="00B31A73">
              <w:t xml:space="preserve">Subsequent equity </w:t>
            </w:r>
            <w:proofErr w:type="gramStart"/>
            <w:r w:rsidRPr="00B31A73">
              <w:t>return</w:t>
            </w:r>
            <w:proofErr w:type="gramEnd"/>
            <w:r w:rsidRPr="00B31A73">
              <w:t xml:space="preserve"> with </w:t>
            </w:r>
            <w:r w:rsidR="00C108EF">
              <w:t xml:space="preserve">nominal </w:t>
            </w:r>
            <w:r w:rsidRPr="00B31A73">
              <w:t>return predicted by CAPE</w:t>
            </w:r>
          </w:p>
        </w:tc>
      </w:tr>
      <w:tr w:rsidR="00104DD0" w:rsidRPr="00B31A73" w14:paraId="55AE94EB" w14:textId="77777777" w:rsidTr="00222567">
        <w:trPr>
          <w:trHeight w:val="260"/>
        </w:trPr>
        <w:tc>
          <w:tcPr>
            <w:tcW w:w="1740" w:type="dxa"/>
            <w:tcBorders>
              <w:top w:val="nil"/>
              <w:left w:val="nil"/>
              <w:bottom w:val="nil"/>
              <w:right w:val="nil"/>
            </w:tcBorders>
            <w:shd w:val="clear" w:color="auto" w:fill="auto"/>
            <w:noWrap/>
            <w:vAlign w:val="bottom"/>
            <w:hideMark/>
          </w:tcPr>
          <w:p w14:paraId="66E5701E" w14:textId="77777777" w:rsidR="00104DD0" w:rsidRPr="00B31A73" w:rsidRDefault="00104DD0" w:rsidP="00104DD0">
            <w:pPr>
              <w:keepLines/>
              <w:jc w:val="center"/>
            </w:pPr>
            <w:r w:rsidRPr="00B31A73">
              <w:t>3</w:t>
            </w:r>
          </w:p>
        </w:tc>
        <w:tc>
          <w:tcPr>
            <w:tcW w:w="2360" w:type="dxa"/>
            <w:tcBorders>
              <w:top w:val="nil"/>
              <w:left w:val="nil"/>
              <w:bottom w:val="nil"/>
              <w:right w:val="nil"/>
            </w:tcBorders>
            <w:shd w:val="clear" w:color="auto" w:fill="auto"/>
            <w:noWrap/>
            <w:vAlign w:val="bottom"/>
            <w:hideMark/>
          </w:tcPr>
          <w:p w14:paraId="0B0B1315" w14:textId="78AF378A" w:rsidR="00104DD0" w:rsidRPr="00104DD0" w:rsidRDefault="00104DD0" w:rsidP="00104DD0">
            <w:pPr>
              <w:keepLines/>
              <w:jc w:val="center"/>
            </w:pPr>
            <w:r w:rsidRPr="00104DD0">
              <w:t>-42%</w:t>
            </w:r>
          </w:p>
        </w:tc>
        <w:tc>
          <w:tcPr>
            <w:tcW w:w="2360" w:type="dxa"/>
            <w:tcBorders>
              <w:top w:val="nil"/>
              <w:left w:val="nil"/>
              <w:bottom w:val="nil"/>
              <w:right w:val="nil"/>
            </w:tcBorders>
            <w:shd w:val="clear" w:color="auto" w:fill="auto"/>
            <w:noWrap/>
            <w:vAlign w:val="bottom"/>
            <w:hideMark/>
          </w:tcPr>
          <w:p w14:paraId="42E7BA7C" w14:textId="18F8C0CA" w:rsidR="00104DD0" w:rsidRPr="00104DD0" w:rsidRDefault="00104DD0" w:rsidP="00104DD0">
            <w:pPr>
              <w:keepLines/>
              <w:jc w:val="center"/>
            </w:pPr>
            <w:r w:rsidRPr="00104DD0">
              <w:t>-39%</w:t>
            </w:r>
          </w:p>
        </w:tc>
        <w:tc>
          <w:tcPr>
            <w:tcW w:w="2220" w:type="dxa"/>
            <w:tcBorders>
              <w:top w:val="nil"/>
              <w:left w:val="nil"/>
              <w:bottom w:val="nil"/>
              <w:right w:val="nil"/>
            </w:tcBorders>
            <w:shd w:val="clear" w:color="auto" w:fill="auto"/>
            <w:noWrap/>
            <w:vAlign w:val="bottom"/>
            <w:hideMark/>
          </w:tcPr>
          <w:p w14:paraId="4EEA072E" w14:textId="5DF30736" w:rsidR="00104DD0" w:rsidRPr="00104DD0" w:rsidRDefault="00104DD0" w:rsidP="00104DD0">
            <w:pPr>
              <w:keepLines/>
              <w:jc w:val="center"/>
            </w:pPr>
            <w:r w:rsidRPr="00104DD0">
              <w:t>39%</w:t>
            </w:r>
          </w:p>
        </w:tc>
        <w:tc>
          <w:tcPr>
            <w:tcW w:w="2220" w:type="dxa"/>
            <w:tcBorders>
              <w:top w:val="nil"/>
              <w:left w:val="nil"/>
              <w:bottom w:val="nil"/>
              <w:right w:val="nil"/>
            </w:tcBorders>
            <w:shd w:val="clear" w:color="auto" w:fill="auto"/>
            <w:noWrap/>
            <w:vAlign w:val="bottom"/>
            <w:hideMark/>
          </w:tcPr>
          <w:p w14:paraId="03224B47" w14:textId="76E8A142" w:rsidR="00104DD0" w:rsidRPr="00104DD0" w:rsidRDefault="00104DD0" w:rsidP="00104DD0">
            <w:pPr>
              <w:keepLines/>
              <w:jc w:val="center"/>
            </w:pPr>
            <w:r w:rsidRPr="00104DD0">
              <w:t>39%</w:t>
            </w:r>
          </w:p>
        </w:tc>
      </w:tr>
      <w:tr w:rsidR="00104DD0" w:rsidRPr="00B31A73" w14:paraId="3D3D8890" w14:textId="77777777" w:rsidTr="00222567">
        <w:trPr>
          <w:trHeight w:val="260"/>
        </w:trPr>
        <w:tc>
          <w:tcPr>
            <w:tcW w:w="1740" w:type="dxa"/>
            <w:tcBorders>
              <w:top w:val="nil"/>
              <w:left w:val="nil"/>
              <w:bottom w:val="nil"/>
              <w:right w:val="nil"/>
            </w:tcBorders>
            <w:shd w:val="clear" w:color="auto" w:fill="auto"/>
            <w:noWrap/>
            <w:vAlign w:val="bottom"/>
            <w:hideMark/>
          </w:tcPr>
          <w:p w14:paraId="2593E912" w14:textId="77777777" w:rsidR="00104DD0" w:rsidRPr="00B31A73" w:rsidRDefault="00104DD0" w:rsidP="00104DD0">
            <w:pPr>
              <w:keepLines/>
              <w:jc w:val="center"/>
            </w:pPr>
            <w:r w:rsidRPr="00B31A73">
              <w:t>5</w:t>
            </w:r>
          </w:p>
        </w:tc>
        <w:tc>
          <w:tcPr>
            <w:tcW w:w="2360" w:type="dxa"/>
            <w:tcBorders>
              <w:top w:val="nil"/>
              <w:left w:val="nil"/>
              <w:bottom w:val="nil"/>
              <w:right w:val="nil"/>
            </w:tcBorders>
            <w:shd w:val="clear" w:color="auto" w:fill="auto"/>
            <w:noWrap/>
            <w:vAlign w:val="bottom"/>
            <w:hideMark/>
          </w:tcPr>
          <w:p w14:paraId="36611F06" w14:textId="1235F9AB" w:rsidR="00104DD0" w:rsidRPr="00104DD0" w:rsidRDefault="00104DD0" w:rsidP="00104DD0">
            <w:pPr>
              <w:keepLines/>
              <w:jc w:val="center"/>
            </w:pPr>
            <w:r w:rsidRPr="00104DD0">
              <w:t>-50%</w:t>
            </w:r>
          </w:p>
        </w:tc>
        <w:tc>
          <w:tcPr>
            <w:tcW w:w="2360" w:type="dxa"/>
            <w:tcBorders>
              <w:top w:val="nil"/>
              <w:left w:val="nil"/>
              <w:bottom w:val="nil"/>
              <w:right w:val="nil"/>
            </w:tcBorders>
            <w:shd w:val="clear" w:color="auto" w:fill="auto"/>
            <w:noWrap/>
            <w:vAlign w:val="bottom"/>
            <w:hideMark/>
          </w:tcPr>
          <w:p w14:paraId="46EFE798" w14:textId="167771A9" w:rsidR="00104DD0" w:rsidRPr="00104DD0" w:rsidRDefault="00104DD0" w:rsidP="00104DD0">
            <w:pPr>
              <w:keepLines/>
              <w:jc w:val="center"/>
            </w:pPr>
            <w:r w:rsidRPr="00104DD0">
              <w:t>-47%</w:t>
            </w:r>
          </w:p>
        </w:tc>
        <w:tc>
          <w:tcPr>
            <w:tcW w:w="2220" w:type="dxa"/>
            <w:tcBorders>
              <w:top w:val="nil"/>
              <w:left w:val="nil"/>
              <w:bottom w:val="nil"/>
              <w:right w:val="nil"/>
            </w:tcBorders>
            <w:shd w:val="clear" w:color="auto" w:fill="auto"/>
            <w:noWrap/>
            <w:vAlign w:val="bottom"/>
            <w:hideMark/>
          </w:tcPr>
          <w:p w14:paraId="7C9497D1" w14:textId="3E5F0073" w:rsidR="00104DD0" w:rsidRPr="00104DD0" w:rsidRDefault="00104DD0" w:rsidP="00104DD0">
            <w:pPr>
              <w:keepLines/>
              <w:jc w:val="center"/>
            </w:pPr>
            <w:r w:rsidRPr="00104DD0">
              <w:t>49%</w:t>
            </w:r>
          </w:p>
        </w:tc>
        <w:tc>
          <w:tcPr>
            <w:tcW w:w="2220" w:type="dxa"/>
            <w:tcBorders>
              <w:top w:val="nil"/>
              <w:left w:val="nil"/>
              <w:bottom w:val="nil"/>
              <w:right w:val="nil"/>
            </w:tcBorders>
            <w:shd w:val="clear" w:color="auto" w:fill="auto"/>
            <w:noWrap/>
            <w:vAlign w:val="bottom"/>
            <w:hideMark/>
          </w:tcPr>
          <w:p w14:paraId="6B9138D1" w14:textId="09878BE6" w:rsidR="00104DD0" w:rsidRPr="00104DD0" w:rsidRDefault="00104DD0" w:rsidP="00104DD0">
            <w:pPr>
              <w:keepLines/>
              <w:jc w:val="center"/>
            </w:pPr>
            <w:r w:rsidRPr="00104DD0">
              <w:t>47%</w:t>
            </w:r>
          </w:p>
        </w:tc>
      </w:tr>
      <w:tr w:rsidR="00104DD0" w:rsidRPr="00B31A73" w14:paraId="5AE71395" w14:textId="77777777" w:rsidTr="00222567">
        <w:trPr>
          <w:trHeight w:val="260"/>
        </w:trPr>
        <w:tc>
          <w:tcPr>
            <w:tcW w:w="1740" w:type="dxa"/>
            <w:tcBorders>
              <w:top w:val="nil"/>
              <w:left w:val="nil"/>
              <w:bottom w:val="nil"/>
              <w:right w:val="nil"/>
            </w:tcBorders>
            <w:shd w:val="clear" w:color="auto" w:fill="auto"/>
            <w:noWrap/>
            <w:vAlign w:val="bottom"/>
            <w:hideMark/>
          </w:tcPr>
          <w:p w14:paraId="7CACBFAB" w14:textId="77777777" w:rsidR="00104DD0" w:rsidRPr="00B31A73" w:rsidRDefault="00104DD0" w:rsidP="00104DD0">
            <w:pPr>
              <w:keepLines/>
              <w:jc w:val="center"/>
            </w:pPr>
            <w:r w:rsidRPr="00B31A73">
              <w:t>8</w:t>
            </w:r>
          </w:p>
        </w:tc>
        <w:tc>
          <w:tcPr>
            <w:tcW w:w="2360" w:type="dxa"/>
            <w:tcBorders>
              <w:top w:val="nil"/>
              <w:left w:val="nil"/>
              <w:bottom w:val="nil"/>
              <w:right w:val="nil"/>
            </w:tcBorders>
            <w:shd w:val="clear" w:color="auto" w:fill="auto"/>
            <w:noWrap/>
            <w:vAlign w:val="bottom"/>
            <w:hideMark/>
          </w:tcPr>
          <w:p w14:paraId="0A420EA4" w14:textId="3EF0F751" w:rsidR="00104DD0" w:rsidRPr="00104DD0" w:rsidRDefault="00104DD0" w:rsidP="00104DD0">
            <w:pPr>
              <w:keepLines/>
              <w:jc w:val="center"/>
            </w:pPr>
            <w:r w:rsidRPr="00104DD0">
              <w:t>-57%</w:t>
            </w:r>
          </w:p>
        </w:tc>
        <w:tc>
          <w:tcPr>
            <w:tcW w:w="2360" w:type="dxa"/>
            <w:tcBorders>
              <w:top w:val="nil"/>
              <w:left w:val="nil"/>
              <w:bottom w:val="nil"/>
              <w:right w:val="nil"/>
            </w:tcBorders>
            <w:shd w:val="clear" w:color="auto" w:fill="auto"/>
            <w:noWrap/>
            <w:vAlign w:val="bottom"/>
            <w:hideMark/>
          </w:tcPr>
          <w:p w14:paraId="23386573" w14:textId="4511C5AF" w:rsidR="00104DD0" w:rsidRPr="00104DD0" w:rsidRDefault="00104DD0" w:rsidP="00104DD0">
            <w:pPr>
              <w:keepLines/>
              <w:jc w:val="center"/>
            </w:pPr>
            <w:r w:rsidRPr="00104DD0">
              <w:t>-52%</w:t>
            </w:r>
          </w:p>
        </w:tc>
        <w:tc>
          <w:tcPr>
            <w:tcW w:w="2220" w:type="dxa"/>
            <w:tcBorders>
              <w:top w:val="nil"/>
              <w:left w:val="nil"/>
              <w:bottom w:val="nil"/>
              <w:right w:val="nil"/>
            </w:tcBorders>
            <w:shd w:val="clear" w:color="auto" w:fill="auto"/>
            <w:noWrap/>
            <w:vAlign w:val="bottom"/>
            <w:hideMark/>
          </w:tcPr>
          <w:p w14:paraId="4598A546" w14:textId="18601560" w:rsidR="00104DD0" w:rsidRPr="00104DD0" w:rsidRDefault="00104DD0" w:rsidP="00104DD0">
            <w:pPr>
              <w:keepLines/>
              <w:jc w:val="center"/>
            </w:pPr>
            <w:r w:rsidRPr="00104DD0">
              <w:t>59%</w:t>
            </w:r>
          </w:p>
        </w:tc>
        <w:tc>
          <w:tcPr>
            <w:tcW w:w="2220" w:type="dxa"/>
            <w:tcBorders>
              <w:top w:val="nil"/>
              <w:left w:val="nil"/>
              <w:bottom w:val="nil"/>
              <w:right w:val="nil"/>
            </w:tcBorders>
            <w:shd w:val="clear" w:color="auto" w:fill="auto"/>
            <w:noWrap/>
            <w:vAlign w:val="bottom"/>
            <w:hideMark/>
          </w:tcPr>
          <w:p w14:paraId="0C0946A0" w14:textId="36D64CFD" w:rsidR="00104DD0" w:rsidRPr="00104DD0" w:rsidRDefault="00104DD0" w:rsidP="00104DD0">
            <w:pPr>
              <w:keepLines/>
              <w:jc w:val="center"/>
            </w:pPr>
            <w:r w:rsidRPr="00104DD0">
              <w:t>52%</w:t>
            </w:r>
          </w:p>
        </w:tc>
      </w:tr>
      <w:tr w:rsidR="00104DD0" w:rsidRPr="00B31A73" w14:paraId="76C02A29" w14:textId="77777777" w:rsidTr="00222567">
        <w:trPr>
          <w:trHeight w:val="260"/>
        </w:trPr>
        <w:tc>
          <w:tcPr>
            <w:tcW w:w="1740" w:type="dxa"/>
            <w:tcBorders>
              <w:top w:val="nil"/>
              <w:left w:val="nil"/>
              <w:bottom w:val="nil"/>
              <w:right w:val="nil"/>
            </w:tcBorders>
            <w:shd w:val="clear" w:color="auto" w:fill="auto"/>
            <w:noWrap/>
            <w:vAlign w:val="bottom"/>
            <w:hideMark/>
          </w:tcPr>
          <w:p w14:paraId="6DE72274" w14:textId="77777777" w:rsidR="00104DD0" w:rsidRPr="00B31A73" w:rsidRDefault="00104DD0" w:rsidP="00104DD0">
            <w:pPr>
              <w:keepLines/>
              <w:jc w:val="center"/>
            </w:pPr>
            <w:r w:rsidRPr="00B31A73">
              <w:t>10</w:t>
            </w:r>
          </w:p>
        </w:tc>
        <w:tc>
          <w:tcPr>
            <w:tcW w:w="2360" w:type="dxa"/>
            <w:tcBorders>
              <w:top w:val="nil"/>
              <w:left w:val="nil"/>
              <w:bottom w:val="nil"/>
              <w:right w:val="nil"/>
            </w:tcBorders>
            <w:shd w:val="clear" w:color="auto" w:fill="auto"/>
            <w:noWrap/>
            <w:vAlign w:val="bottom"/>
            <w:hideMark/>
          </w:tcPr>
          <w:p w14:paraId="5721A87C" w14:textId="7DE45AAD" w:rsidR="00104DD0" w:rsidRPr="00104DD0" w:rsidRDefault="00104DD0" w:rsidP="00104DD0">
            <w:pPr>
              <w:keepLines/>
              <w:jc w:val="center"/>
            </w:pPr>
            <w:r w:rsidRPr="00104DD0">
              <w:t>-66%</w:t>
            </w:r>
          </w:p>
        </w:tc>
        <w:tc>
          <w:tcPr>
            <w:tcW w:w="2360" w:type="dxa"/>
            <w:tcBorders>
              <w:top w:val="nil"/>
              <w:left w:val="nil"/>
              <w:bottom w:val="nil"/>
              <w:right w:val="nil"/>
            </w:tcBorders>
            <w:shd w:val="clear" w:color="auto" w:fill="auto"/>
            <w:noWrap/>
            <w:vAlign w:val="bottom"/>
            <w:hideMark/>
          </w:tcPr>
          <w:p w14:paraId="41499010" w14:textId="55487A05" w:rsidR="00104DD0" w:rsidRPr="00104DD0" w:rsidRDefault="00104DD0" w:rsidP="00104DD0">
            <w:pPr>
              <w:keepLines/>
              <w:jc w:val="center"/>
            </w:pPr>
            <w:r w:rsidRPr="00104DD0">
              <w:t>-57%</w:t>
            </w:r>
          </w:p>
        </w:tc>
        <w:tc>
          <w:tcPr>
            <w:tcW w:w="2220" w:type="dxa"/>
            <w:tcBorders>
              <w:top w:val="nil"/>
              <w:left w:val="nil"/>
              <w:bottom w:val="nil"/>
              <w:right w:val="nil"/>
            </w:tcBorders>
            <w:shd w:val="clear" w:color="auto" w:fill="auto"/>
            <w:noWrap/>
            <w:vAlign w:val="bottom"/>
            <w:hideMark/>
          </w:tcPr>
          <w:p w14:paraId="3E2888AF" w14:textId="71C37DD4" w:rsidR="00104DD0" w:rsidRPr="00104DD0" w:rsidRDefault="00104DD0" w:rsidP="00104DD0">
            <w:pPr>
              <w:keepLines/>
              <w:jc w:val="center"/>
            </w:pPr>
            <w:r w:rsidRPr="00104DD0">
              <w:t>67%</w:t>
            </w:r>
          </w:p>
        </w:tc>
        <w:tc>
          <w:tcPr>
            <w:tcW w:w="2220" w:type="dxa"/>
            <w:tcBorders>
              <w:top w:val="nil"/>
              <w:left w:val="nil"/>
              <w:bottom w:val="nil"/>
              <w:right w:val="nil"/>
            </w:tcBorders>
            <w:shd w:val="clear" w:color="auto" w:fill="auto"/>
            <w:noWrap/>
            <w:vAlign w:val="bottom"/>
            <w:hideMark/>
          </w:tcPr>
          <w:p w14:paraId="3410775E" w14:textId="08E9C5AF" w:rsidR="00104DD0" w:rsidRPr="00104DD0" w:rsidRDefault="00104DD0" w:rsidP="00104DD0">
            <w:pPr>
              <w:keepLines/>
              <w:jc w:val="center"/>
            </w:pPr>
            <w:r w:rsidRPr="00104DD0">
              <w:t>57%</w:t>
            </w:r>
          </w:p>
        </w:tc>
      </w:tr>
      <w:tr w:rsidR="00104DD0" w:rsidRPr="00B31A73" w14:paraId="15B5407F" w14:textId="77777777" w:rsidTr="00222567">
        <w:trPr>
          <w:trHeight w:val="260"/>
        </w:trPr>
        <w:tc>
          <w:tcPr>
            <w:tcW w:w="1740" w:type="dxa"/>
            <w:tcBorders>
              <w:top w:val="nil"/>
              <w:left w:val="nil"/>
              <w:bottom w:val="nil"/>
              <w:right w:val="nil"/>
            </w:tcBorders>
            <w:shd w:val="clear" w:color="auto" w:fill="auto"/>
            <w:vAlign w:val="bottom"/>
            <w:hideMark/>
          </w:tcPr>
          <w:p w14:paraId="451E5F01" w14:textId="77777777" w:rsidR="00104DD0" w:rsidRPr="00B31A73" w:rsidRDefault="00104DD0" w:rsidP="00104DD0">
            <w:pPr>
              <w:keepLines/>
              <w:jc w:val="center"/>
            </w:pPr>
            <w:r w:rsidRPr="00B31A73">
              <w:t>12</w:t>
            </w:r>
          </w:p>
        </w:tc>
        <w:tc>
          <w:tcPr>
            <w:tcW w:w="2360" w:type="dxa"/>
            <w:tcBorders>
              <w:top w:val="nil"/>
              <w:left w:val="nil"/>
              <w:bottom w:val="nil"/>
              <w:right w:val="nil"/>
            </w:tcBorders>
            <w:shd w:val="clear" w:color="auto" w:fill="auto"/>
            <w:vAlign w:val="bottom"/>
            <w:hideMark/>
          </w:tcPr>
          <w:p w14:paraId="392F89CC" w14:textId="4ECB1C80" w:rsidR="00104DD0" w:rsidRPr="00104DD0" w:rsidRDefault="00104DD0" w:rsidP="00104DD0">
            <w:pPr>
              <w:keepLines/>
              <w:jc w:val="center"/>
            </w:pPr>
            <w:r w:rsidRPr="00104DD0">
              <w:t>-68%</w:t>
            </w:r>
          </w:p>
        </w:tc>
        <w:tc>
          <w:tcPr>
            <w:tcW w:w="2360" w:type="dxa"/>
            <w:tcBorders>
              <w:top w:val="nil"/>
              <w:left w:val="nil"/>
              <w:bottom w:val="nil"/>
              <w:right w:val="nil"/>
            </w:tcBorders>
            <w:shd w:val="clear" w:color="auto" w:fill="auto"/>
            <w:vAlign w:val="bottom"/>
            <w:hideMark/>
          </w:tcPr>
          <w:p w14:paraId="6FC6282E" w14:textId="6C39FD77" w:rsidR="00104DD0" w:rsidRPr="00104DD0" w:rsidRDefault="00104DD0" w:rsidP="00104DD0">
            <w:pPr>
              <w:keepLines/>
              <w:jc w:val="center"/>
            </w:pPr>
            <w:r w:rsidRPr="00104DD0">
              <w:t>-57%</w:t>
            </w:r>
          </w:p>
        </w:tc>
        <w:tc>
          <w:tcPr>
            <w:tcW w:w="2220" w:type="dxa"/>
            <w:tcBorders>
              <w:top w:val="nil"/>
              <w:left w:val="nil"/>
              <w:bottom w:val="nil"/>
              <w:right w:val="nil"/>
            </w:tcBorders>
            <w:shd w:val="clear" w:color="auto" w:fill="auto"/>
            <w:vAlign w:val="bottom"/>
            <w:hideMark/>
          </w:tcPr>
          <w:p w14:paraId="20005B15" w14:textId="12489C37" w:rsidR="00104DD0" w:rsidRPr="00104DD0" w:rsidRDefault="00104DD0" w:rsidP="00104DD0">
            <w:pPr>
              <w:keepLines/>
              <w:jc w:val="center"/>
            </w:pPr>
            <w:r w:rsidRPr="00104DD0">
              <w:t>69%</w:t>
            </w:r>
          </w:p>
        </w:tc>
        <w:tc>
          <w:tcPr>
            <w:tcW w:w="2220" w:type="dxa"/>
            <w:tcBorders>
              <w:top w:val="nil"/>
              <w:left w:val="nil"/>
              <w:bottom w:val="nil"/>
              <w:right w:val="nil"/>
            </w:tcBorders>
            <w:shd w:val="clear" w:color="auto" w:fill="auto"/>
            <w:vAlign w:val="bottom"/>
            <w:hideMark/>
          </w:tcPr>
          <w:p w14:paraId="48B2FD89" w14:textId="6AB96020" w:rsidR="00104DD0" w:rsidRPr="00104DD0" w:rsidRDefault="00104DD0" w:rsidP="00104DD0">
            <w:pPr>
              <w:keepLines/>
              <w:jc w:val="center"/>
            </w:pPr>
            <w:r w:rsidRPr="00104DD0">
              <w:t>57%</w:t>
            </w:r>
          </w:p>
        </w:tc>
      </w:tr>
      <w:tr w:rsidR="00104DD0" w:rsidRPr="00B31A73" w14:paraId="4240BCA1" w14:textId="77777777" w:rsidTr="00222567">
        <w:trPr>
          <w:trHeight w:val="260"/>
        </w:trPr>
        <w:tc>
          <w:tcPr>
            <w:tcW w:w="1740" w:type="dxa"/>
            <w:tcBorders>
              <w:top w:val="nil"/>
              <w:left w:val="nil"/>
              <w:bottom w:val="nil"/>
              <w:right w:val="nil"/>
            </w:tcBorders>
            <w:shd w:val="clear" w:color="auto" w:fill="auto"/>
            <w:noWrap/>
            <w:vAlign w:val="bottom"/>
            <w:hideMark/>
          </w:tcPr>
          <w:p w14:paraId="657805CD" w14:textId="77777777" w:rsidR="00104DD0" w:rsidRPr="00B31A73" w:rsidRDefault="00104DD0" w:rsidP="00104DD0">
            <w:pPr>
              <w:keepLines/>
              <w:jc w:val="center"/>
            </w:pPr>
            <w:r w:rsidRPr="00B31A73">
              <w:t>15</w:t>
            </w:r>
          </w:p>
        </w:tc>
        <w:tc>
          <w:tcPr>
            <w:tcW w:w="2360" w:type="dxa"/>
            <w:tcBorders>
              <w:top w:val="nil"/>
              <w:left w:val="nil"/>
              <w:bottom w:val="nil"/>
              <w:right w:val="nil"/>
            </w:tcBorders>
            <w:shd w:val="clear" w:color="auto" w:fill="auto"/>
            <w:noWrap/>
            <w:vAlign w:val="bottom"/>
            <w:hideMark/>
          </w:tcPr>
          <w:p w14:paraId="4883761E" w14:textId="5B7C9DD5" w:rsidR="00104DD0" w:rsidRPr="00104DD0" w:rsidRDefault="00104DD0" w:rsidP="00104DD0">
            <w:pPr>
              <w:keepLines/>
              <w:jc w:val="center"/>
            </w:pPr>
            <w:r w:rsidRPr="00104DD0">
              <w:t>-72%</w:t>
            </w:r>
          </w:p>
        </w:tc>
        <w:tc>
          <w:tcPr>
            <w:tcW w:w="2360" w:type="dxa"/>
            <w:tcBorders>
              <w:top w:val="nil"/>
              <w:left w:val="nil"/>
              <w:bottom w:val="nil"/>
              <w:right w:val="nil"/>
            </w:tcBorders>
            <w:shd w:val="clear" w:color="auto" w:fill="auto"/>
            <w:noWrap/>
            <w:vAlign w:val="bottom"/>
            <w:hideMark/>
          </w:tcPr>
          <w:p w14:paraId="76574545" w14:textId="1BAF79F8" w:rsidR="00104DD0" w:rsidRPr="00104DD0" w:rsidRDefault="00104DD0" w:rsidP="00104DD0">
            <w:pPr>
              <w:keepLines/>
              <w:jc w:val="center"/>
            </w:pPr>
            <w:r w:rsidRPr="00104DD0">
              <w:t>-55%</w:t>
            </w:r>
          </w:p>
        </w:tc>
        <w:tc>
          <w:tcPr>
            <w:tcW w:w="2220" w:type="dxa"/>
            <w:tcBorders>
              <w:top w:val="nil"/>
              <w:left w:val="nil"/>
              <w:bottom w:val="nil"/>
              <w:right w:val="nil"/>
            </w:tcBorders>
            <w:shd w:val="clear" w:color="auto" w:fill="auto"/>
            <w:noWrap/>
            <w:vAlign w:val="bottom"/>
            <w:hideMark/>
          </w:tcPr>
          <w:p w14:paraId="0D09693F" w14:textId="758D4129" w:rsidR="00104DD0" w:rsidRPr="00104DD0" w:rsidRDefault="00104DD0" w:rsidP="00104DD0">
            <w:pPr>
              <w:keepLines/>
              <w:jc w:val="center"/>
            </w:pPr>
            <w:r w:rsidRPr="00104DD0">
              <w:t>73%</w:t>
            </w:r>
          </w:p>
        </w:tc>
        <w:tc>
          <w:tcPr>
            <w:tcW w:w="2220" w:type="dxa"/>
            <w:tcBorders>
              <w:top w:val="nil"/>
              <w:left w:val="nil"/>
              <w:bottom w:val="nil"/>
              <w:right w:val="nil"/>
            </w:tcBorders>
            <w:shd w:val="clear" w:color="auto" w:fill="auto"/>
            <w:noWrap/>
            <w:vAlign w:val="bottom"/>
            <w:hideMark/>
          </w:tcPr>
          <w:p w14:paraId="3D174F0F" w14:textId="5D0623CA" w:rsidR="00104DD0" w:rsidRPr="00104DD0" w:rsidRDefault="00104DD0" w:rsidP="00104DD0">
            <w:pPr>
              <w:keepLines/>
              <w:jc w:val="center"/>
            </w:pPr>
            <w:r w:rsidRPr="00104DD0">
              <w:t>55%</w:t>
            </w:r>
          </w:p>
        </w:tc>
      </w:tr>
      <w:tr w:rsidR="00104DD0" w:rsidRPr="00B31A73" w14:paraId="68A43B43" w14:textId="77777777" w:rsidTr="00222567">
        <w:trPr>
          <w:trHeight w:val="260"/>
        </w:trPr>
        <w:tc>
          <w:tcPr>
            <w:tcW w:w="1740" w:type="dxa"/>
            <w:tcBorders>
              <w:top w:val="nil"/>
              <w:left w:val="nil"/>
              <w:bottom w:val="nil"/>
              <w:right w:val="nil"/>
            </w:tcBorders>
            <w:shd w:val="clear" w:color="auto" w:fill="auto"/>
            <w:noWrap/>
            <w:vAlign w:val="bottom"/>
            <w:hideMark/>
          </w:tcPr>
          <w:p w14:paraId="48913F95" w14:textId="77777777" w:rsidR="00104DD0" w:rsidRPr="00B31A73" w:rsidRDefault="00104DD0" w:rsidP="00104DD0">
            <w:pPr>
              <w:keepLines/>
              <w:jc w:val="center"/>
            </w:pPr>
            <w:r w:rsidRPr="00B31A73">
              <w:t>20</w:t>
            </w:r>
          </w:p>
        </w:tc>
        <w:tc>
          <w:tcPr>
            <w:tcW w:w="2360" w:type="dxa"/>
            <w:tcBorders>
              <w:top w:val="nil"/>
              <w:left w:val="nil"/>
              <w:bottom w:val="nil"/>
              <w:right w:val="nil"/>
            </w:tcBorders>
            <w:shd w:val="clear" w:color="auto" w:fill="auto"/>
            <w:noWrap/>
            <w:vAlign w:val="bottom"/>
            <w:hideMark/>
          </w:tcPr>
          <w:p w14:paraId="074121D5" w14:textId="118E9D06" w:rsidR="00104DD0" w:rsidRPr="00104DD0" w:rsidRDefault="00104DD0" w:rsidP="00104DD0">
            <w:pPr>
              <w:keepLines/>
              <w:jc w:val="center"/>
            </w:pPr>
            <w:r w:rsidRPr="00104DD0">
              <w:t>-77%</w:t>
            </w:r>
          </w:p>
        </w:tc>
        <w:tc>
          <w:tcPr>
            <w:tcW w:w="2360" w:type="dxa"/>
            <w:tcBorders>
              <w:top w:val="nil"/>
              <w:left w:val="nil"/>
              <w:bottom w:val="nil"/>
              <w:right w:val="nil"/>
            </w:tcBorders>
            <w:shd w:val="clear" w:color="auto" w:fill="auto"/>
            <w:noWrap/>
            <w:vAlign w:val="bottom"/>
            <w:hideMark/>
          </w:tcPr>
          <w:p w14:paraId="68BB8EAA" w14:textId="2D2710BE" w:rsidR="00104DD0" w:rsidRPr="00104DD0" w:rsidRDefault="00104DD0" w:rsidP="00104DD0">
            <w:pPr>
              <w:keepLines/>
              <w:jc w:val="center"/>
            </w:pPr>
            <w:r w:rsidRPr="00104DD0">
              <w:t>-47%</w:t>
            </w:r>
          </w:p>
        </w:tc>
        <w:tc>
          <w:tcPr>
            <w:tcW w:w="2220" w:type="dxa"/>
            <w:tcBorders>
              <w:top w:val="nil"/>
              <w:left w:val="nil"/>
              <w:bottom w:val="nil"/>
              <w:right w:val="nil"/>
            </w:tcBorders>
            <w:shd w:val="clear" w:color="auto" w:fill="auto"/>
            <w:noWrap/>
            <w:vAlign w:val="bottom"/>
            <w:hideMark/>
          </w:tcPr>
          <w:p w14:paraId="7E5D08FD" w14:textId="54AA7789" w:rsidR="00104DD0" w:rsidRPr="00104DD0" w:rsidRDefault="00104DD0" w:rsidP="00104DD0">
            <w:pPr>
              <w:keepLines/>
              <w:jc w:val="center"/>
            </w:pPr>
            <w:r w:rsidRPr="00104DD0">
              <w:t>70%</w:t>
            </w:r>
          </w:p>
        </w:tc>
        <w:tc>
          <w:tcPr>
            <w:tcW w:w="2220" w:type="dxa"/>
            <w:tcBorders>
              <w:top w:val="nil"/>
              <w:left w:val="nil"/>
              <w:bottom w:val="nil"/>
              <w:right w:val="nil"/>
            </w:tcBorders>
            <w:shd w:val="clear" w:color="auto" w:fill="auto"/>
            <w:noWrap/>
            <w:vAlign w:val="bottom"/>
            <w:hideMark/>
          </w:tcPr>
          <w:p w14:paraId="522ECE11" w14:textId="08E6ACA1" w:rsidR="00104DD0" w:rsidRPr="00104DD0" w:rsidRDefault="00104DD0" w:rsidP="00104DD0">
            <w:pPr>
              <w:keepLines/>
              <w:jc w:val="center"/>
            </w:pPr>
            <w:r w:rsidRPr="00104DD0">
              <w:t>47%</w:t>
            </w:r>
          </w:p>
        </w:tc>
      </w:tr>
      <w:tr w:rsidR="00104DD0" w:rsidRPr="00B31A73" w14:paraId="6730F34B" w14:textId="77777777" w:rsidTr="00222567">
        <w:trPr>
          <w:trHeight w:val="260"/>
        </w:trPr>
        <w:tc>
          <w:tcPr>
            <w:tcW w:w="1740" w:type="dxa"/>
            <w:tcBorders>
              <w:top w:val="nil"/>
              <w:left w:val="nil"/>
              <w:bottom w:val="nil"/>
              <w:right w:val="nil"/>
            </w:tcBorders>
            <w:shd w:val="clear" w:color="auto" w:fill="auto"/>
            <w:noWrap/>
            <w:vAlign w:val="bottom"/>
            <w:hideMark/>
          </w:tcPr>
          <w:p w14:paraId="7F82786A" w14:textId="77777777" w:rsidR="00104DD0" w:rsidRPr="00B31A73" w:rsidRDefault="00104DD0" w:rsidP="00104DD0">
            <w:pPr>
              <w:keepLines/>
              <w:jc w:val="center"/>
            </w:pPr>
            <w:r w:rsidRPr="00B31A73">
              <w:t>25</w:t>
            </w:r>
          </w:p>
        </w:tc>
        <w:tc>
          <w:tcPr>
            <w:tcW w:w="2360" w:type="dxa"/>
            <w:tcBorders>
              <w:top w:val="nil"/>
              <w:left w:val="nil"/>
              <w:bottom w:val="nil"/>
              <w:right w:val="nil"/>
            </w:tcBorders>
            <w:shd w:val="clear" w:color="auto" w:fill="auto"/>
            <w:noWrap/>
            <w:vAlign w:val="bottom"/>
            <w:hideMark/>
          </w:tcPr>
          <w:p w14:paraId="4B527D1C" w14:textId="0E8D166E" w:rsidR="00104DD0" w:rsidRPr="00104DD0" w:rsidRDefault="00104DD0" w:rsidP="00104DD0">
            <w:pPr>
              <w:keepLines/>
              <w:jc w:val="center"/>
            </w:pPr>
            <w:r w:rsidRPr="00104DD0">
              <w:t>-76%</w:t>
            </w:r>
          </w:p>
        </w:tc>
        <w:tc>
          <w:tcPr>
            <w:tcW w:w="2360" w:type="dxa"/>
            <w:tcBorders>
              <w:top w:val="nil"/>
              <w:left w:val="nil"/>
              <w:bottom w:val="nil"/>
              <w:right w:val="nil"/>
            </w:tcBorders>
            <w:shd w:val="clear" w:color="auto" w:fill="auto"/>
            <w:noWrap/>
            <w:vAlign w:val="bottom"/>
            <w:hideMark/>
          </w:tcPr>
          <w:p w14:paraId="369665BA" w14:textId="4A094F9C" w:rsidR="00104DD0" w:rsidRPr="00104DD0" w:rsidRDefault="00104DD0" w:rsidP="00104DD0">
            <w:pPr>
              <w:keepLines/>
              <w:jc w:val="center"/>
            </w:pPr>
            <w:r w:rsidRPr="00104DD0">
              <w:t>-30%</w:t>
            </w:r>
          </w:p>
        </w:tc>
        <w:tc>
          <w:tcPr>
            <w:tcW w:w="2220" w:type="dxa"/>
            <w:tcBorders>
              <w:top w:val="nil"/>
              <w:left w:val="nil"/>
              <w:bottom w:val="nil"/>
              <w:right w:val="nil"/>
            </w:tcBorders>
            <w:shd w:val="clear" w:color="auto" w:fill="auto"/>
            <w:noWrap/>
            <w:vAlign w:val="bottom"/>
            <w:hideMark/>
          </w:tcPr>
          <w:p w14:paraId="42C96025" w14:textId="48CCB4AB" w:rsidR="00104DD0" w:rsidRPr="00104DD0" w:rsidRDefault="00104DD0" w:rsidP="00104DD0">
            <w:pPr>
              <w:keepLines/>
              <w:jc w:val="center"/>
            </w:pPr>
            <w:r w:rsidRPr="00104DD0">
              <w:t>53%</w:t>
            </w:r>
          </w:p>
        </w:tc>
        <w:tc>
          <w:tcPr>
            <w:tcW w:w="2220" w:type="dxa"/>
            <w:tcBorders>
              <w:top w:val="nil"/>
              <w:left w:val="nil"/>
              <w:bottom w:val="nil"/>
              <w:right w:val="nil"/>
            </w:tcBorders>
            <w:shd w:val="clear" w:color="auto" w:fill="auto"/>
            <w:noWrap/>
            <w:vAlign w:val="bottom"/>
            <w:hideMark/>
          </w:tcPr>
          <w:p w14:paraId="427A4189" w14:textId="4393D9FB" w:rsidR="00104DD0" w:rsidRPr="00104DD0" w:rsidRDefault="00104DD0" w:rsidP="00104DD0">
            <w:pPr>
              <w:keepLines/>
              <w:jc w:val="center"/>
            </w:pPr>
            <w:r w:rsidRPr="00104DD0">
              <w:t>30%</w:t>
            </w:r>
          </w:p>
        </w:tc>
      </w:tr>
      <w:tr w:rsidR="00104DD0" w:rsidRPr="00B31A73" w14:paraId="7A8FB80B" w14:textId="77777777" w:rsidTr="00222567">
        <w:trPr>
          <w:trHeight w:val="260"/>
        </w:trPr>
        <w:tc>
          <w:tcPr>
            <w:tcW w:w="1740" w:type="dxa"/>
            <w:tcBorders>
              <w:top w:val="nil"/>
              <w:left w:val="nil"/>
              <w:bottom w:val="nil"/>
              <w:right w:val="nil"/>
            </w:tcBorders>
            <w:shd w:val="clear" w:color="auto" w:fill="auto"/>
            <w:noWrap/>
            <w:vAlign w:val="bottom"/>
            <w:hideMark/>
          </w:tcPr>
          <w:p w14:paraId="5BF26BDF" w14:textId="77777777" w:rsidR="00104DD0" w:rsidRPr="00B31A73" w:rsidRDefault="00104DD0" w:rsidP="00104DD0">
            <w:pPr>
              <w:keepLines/>
              <w:jc w:val="center"/>
            </w:pPr>
            <w:r w:rsidRPr="00B31A73">
              <w:t>30</w:t>
            </w:r>
          </w:p>
        </w:tc>
        <w:tc>
          <w:tcPr>
            <w:tcW w:w="2360" w:type="dxa"/>
            <w:tcBorders>
              <w:top w:val="nil"/>
              <w:left w:val="nil"/>
              <w:bottom w:val="nil"/>
              <w:right w:val="nil"/>
            </w:tcBorders>
            <w:shd w:val="clear" w:color="auto" w:fill="auto"/>
            <w:noWrap/>
            <w:vAlign w:val="bottom"/>
            <w:hideMark/>
          </w:tcPr>
          <w:p w14:paraId="7E212BDD" w14:textId="150CEE3D" w:rsidR="00104DD0" w:rsidRPr="00104DD0" w:rsidRDefault="00104DD0" w:rsidP="00104DD0">
            <w:pPr>
              <w:keepLines/>
              <w:jc w:val="center"/>
            </w:pPr>
            <w:r w:rsidRPr="00104DD0">
              <w:t>-72%</w:t>
            </w:r>
          </w:p>
        </w:tc>
        <w:tc>
          <w:tcPr>
            <w:tcW w:w="2360" w:type="dxa"/>
            <w:tcBorders>
              <w:top w:val="nil"/>
              <w:left w:val="nil"/>
              <w:bottom w:val="nil"/>
              <w:right w:val="nil"/>
            </w:tcBorders>
            <w:shd w:val="clear" w:color="auto" w:fill="auto"/>
            <w:noWrap/>
            <w:vAlign w:val="bottom"/>
            <w:hideMark/>
          </w:tcPr>
          <w:p w14:paraId="599CC607" w14:textId="544B7E5A" w:rsidR="00104DD0" w:rsidRPr="00104DD0" w:rsidRDefault="00104DD0" w:rsidP="00104DD0">
            <w:pPr>
              <w:keepLines/>
              <w:jc w:val="center"/>
            </w:pPr>
            <w:r w:rsidRPr="00104DD0">
              <w:t>-22%</w:t>
            </w:r>
          </w:p>
        </w:tc>
        <w:tc>
          <w:tcPr>
            <w:tcW w:w="2220" w:type="dxa"/>
            <w:tcBorders>
              <w:top w:val="nil"/>
              <w:left w:val="nil"/>
              <w:bottom w:val="nil"/>
              <w:right w:val="nil"/>
            </w:tcBorders>
            <w:shd w:val="clear" w:color="auto" w:fill="auto"/>
            <w:noWrap/>
            <w:vAlign w:val="bottom"/>
            <w:hideMark/>
          </w:tcPr>
          <w:p w14:paraId="6E65E769" w14:textId="4BD36DA5" w:rsidR="00104DD0" w:rsidRPr="00104DD0" w:rsidRDefault="00104DD0" w:rsidP="00104DD0">
            <w:pPr>
              <w:keepLines/>
              <w:jc w:val="center"/>
            </w:pPr>
            <w:r w:rsidRPr="00104DD0">
              <w:t>40%</w:t>
            </w:r>
          </w:p>
        </w:tc>
        <w:tc>
          <w:tcPr>
            <w:tcW w:w="2220" w:type="dxa"/>
            <w:tcBorders>
              <w:top w:val="nil"/>
              <w:left w:val="nil"/>
              <w:bottom w:val="nil"/>
              <w:right w:val="nil"/>
            </w:tcBorders>
            <w:shd w:val="clear" w:color="auto" w:fill="auto"/>
            <w:noWrap/>
            <w:vAlign w:val="bottom"/>
            <w:hideMark/>
          </w:tcPr>
          <w:p w14:paraId="566BA46C" w14:textId="006A3755" w:rsidR="00104DD0" w:rsidRPr="00104DD0" w:rsidRDefault="00104DD0" w:rsidP="00104DD0">
            <w:pPr>
              <w:keepLines/>
              <w:jc w:val="center"/>
            </w:pPr>
            <w:r w:rsidRPr="00104DD0">
              <w:t>22%</w:t>
            </w:r>
          </w:p>
        </w:tc>
      </w:tr>
      <w:tr w:rsidR="00370BC3" w:rsidRPr="00B31A73" w14:paraId="3819C563" w14:textId="77777777" w:rsidTr="00222567">
        <w:trPr>
          <w:trHeight w:val="260"/>
        </w:trPr>
        <w:tc>
          <w:tcPr>
            <w:tcW w:w="1740" w:type="dxa"/>
            <w:tcBorders>
              <w:top w:val="nil"/>
              <w:left w:val="nil"/>
              <w:bottom w:val="nil"/>
              <w:right w:val="nil"/>
            </w:tcBorders>
            <w:shd w:val="clear" w:color="auto" w:fill="auto"/>
            <w:noWrap/>
            <w:vAlign w:val="bottom"/>
            <w:hideMark/>
          </w:tcPr>
          <w:p w14:paraId="76948504" w14:textId="77777777" w:rsidR="00370BC3" w:rsidRPr="00B31A73" w:rsidRDefault="00370BC3" w:rsidP="009313C3">
            <w:pPr>
              <w:keepLines/>
              <w:jc w:val="center"/>
            </w:pPr>
          </w:p>
        </w:tc>
        <w:tc>
          <w:tcPr>
            <w:tcW w:w="2360" w:type="dxa"/>
            <w:tcBorders>
              <w:top w:val="nil"/>
              <w:left w:val="nil"/>
              <w:bottom w:val="nil"/>
              <w:right w:val="nil"/>
            </w:tcBorders>
            <w:shd w:val="clear" w:color="auto" w:fill="auto"/>
            <w:noWrap/>
            <w:vAlign w:val="bottom"/>
            <w:hideMark/>
          </w:tcPr>
          <w:p w14:paraId="3ABFD095" w14:textId="77777777" w:rsidR="00370BC3" w:rsidRPr="00B31A73" w:rsidRDefault="00370BC3" w:rsidP="009313C3">
            <w:pPr>
              <w:keepLines/>
            </w:pPr>
          </w:p>
        </w:tc>
        <w:tc>
          <w:tcPr>
            <w:tcW w:w="2360" w:type="dxa"/>
            <w:tcBorders>
              <w:top w:val="nil"/>
              <w:left w:val="nil"/>
              <w:bottom w:val="nil"/>
              <w:right w:val="nil"/>
            </w:tcBorders>
            <w:shd w:val="clear" w:color="auto" w:fill="auto"/>
            <w:noWrap/>
            <w:vAlign w:val="bottom"/>
            <w:hideMark/>
          </w:tcPr>
          <w:p w14:paraId="6BB1ADC8" w14:textId="77777777" w:rsidR="00370BC3" w:rsidRPr="00B31A73" w:rsidRDefault="00370BC3" w:rsidP="009313C3">
            <w:pPr>
              <w:keepLines/>
            </w:pPr>
          </w:p>
        </w:tc>
        <w:tc>
          <w:tcPr>
            <w:tcW w:w="2220" w:type="dxa"/>
            <w:tcBorders>
              <w:top w:val="nil"/>
              <w:left w:val="nil"/>
              <w:bottom w:val="nil"/>
              <w:right w:val="nil"/>
            </w:tcBorders>
            <w:shd w:val="clear" w:color="auto" w:fill="auto"/>
            <w:noWrap/>
            <w:vAlign w:val="bottom"/>
            <w:hideMark/>
          </w:tcPr>
          <w:p w14:paraId="1A64C0B4" w14:textId="77777777" w:rsidR="00370BC3" w:rsidRPr="00B31A73" w:rsidRDefault="00370BC3" w:rsidP="009313C3">
            <w:pPr>
              <w:keepLines/>
            </w:pPr>
          </w:p>
        </w:tc>
        <w:tc>
          <w:tcPr>
            <w:tcW w:w="2220" w:type="dxa"/>
            <w:tcBorders>
              <w:top w:val="nil"/>
              <w:left w:val="nil"/>
              <w:bottom w:val="nil"/>
              <w:right w:val="nil"/>
            </w:tcBorders>
            <w:shd w:val="clear" w:color="auto" w:fill="auto"/>
            <w:noWrap/>
            <w:vAlign w:val="bottom"/>
            <w:hideMark/>
          </w:tcPr>
          <w:p w14:paraId="2641745C" w14:textId="77777777" w:rsidR="00370BC3" w:rsidRPr="00B31A73" w:rsidRDefault="00370BC3" w:rsidP="009313C3">
            <w:pPr>
              <w:keepLines/>
            </w:pPr>
          </w:p>
        </w:tc>
      </w:tr>
      <w:tr w:rsidR="00370BC3" w:rsidRPr="00B31A73" w14:paraId="201FA2D8" w14:textId="77777777" w:rsidTr="00222567">
        <w:trPr>
          <w:trHeight w:val="260"/>
        </w:trPr>
        <w:tc>
          <w:tcPr>
            <w:tcW w:w="1740" w:type="dxa"/>
            <w:tcBorders>
              <w:top w:val="nil"/>
              <w:left w:val="nil"/>
              <w:bottom w:val="nil"/>
              <w:right w:val="nil"/>
            </w:tcBorders>
            <w:shd w:val="clear" w:color="auto" w:fill="auto"/>
            <w:noWrap/>
            <w:vAlign w:val="bottom"/>
            <w:hideMark/>
          </w:tcPr>
          <w:p w14:paraId="4FB64A3F" w14:textId="77777777" w:rsidR="00370BC3" w:rsidRPr="00B31A73" w:rsidRDefault="00370BC3" w:rsidP="009313C3">
            <w:pPr>
              <w:keepLines/>
            </w:pPr>
          </w:p>
        </w:tc>
        <w:tc>
          <w:tcPr>
            <w:tcW w:w="9160" w:type="dxa"/>
            <w:gridSpan w:val="4"/>
            <w:tcBorders>
              <w:top w:val="nil"/>
              <w:left w:val="nil"/>
              <w:bottom w:val="single" w:sz="4" w:space="0" w:color="auto"/>
              <w:right w:val="nil"/>
            </w:tcBorders>
            <w:shd w:val="clear" w:color="auto" w:fill="auto"/>
            <w:noWrap/>
            <w:vAlign w:val="bottom"/>
            <w:hideMark/>
          </w:tcPr>
          <w:p w14:paraId="1F4B2037" w14:textId="43FA9183" w:rsidR="00370BC3" w:rsidRPr="00B31A73" w:rsidRDefault="00370BC3" w:rsidP="009313C3">
            <w:pPr>
              <w:keepLines/>
              <w:jc w:val="center"/>
            </w:pPr>
            <w:r w:rsidRPr="00B31A73">
              <w:t xml:space="preserve">Correlation (1926 </w:t>
            </w:r>
            <w:proofErr w:type="gramStart"/>
            <w:r w:rsidRPr="00B31A73">
              <w:t>- )</w:t>
            </w:r>
            <w:proofErr w:type="gramEnd"/>
          </w:p>
        </w:tc>
      </w:tr>
      <w:tr w:rsidR="00104DD0" w:rsidRPr="00B31A73" w14:paraId="50FAC0C8" w14:textId="77777777" w:rsidTr="00222567">
        <w:trPr>
          <w:trHeight w:val="260"/>
        </w:trPr>
        <w:tc>
          <w:tcPr>
            <w:tcW w:w="1740" w:type="dxa"/>
            <w:tcBorders>
              <w:top w:val="nil"/>
              <w:left w:val="nil"/>
              <w:bottom w:val="nil"/>
              <w:right w:val="nil"/>
            </w:tcBorders>
            <w:shd w:val="clear" w:color="auto" w:fill="auto"/>
            <w:noWrap/>
            <w:vAlign w:val="bottom"/>
            <w:hideMark/>
          </w:tcPr>
          <w:p w14:paraId="78B6E92B" w14:textId="77777777" w:rsidR="00104DD0" w:rsidRPr="00B31A73" w:rsidRDefault="00104DD0" w:rsidP="00104DD0">
            <w:pPr>
              <w:keepLines/>
              <w:jc w:val="center"/>
            </w:pPr>
            <w:r w:rsidRPr="00B31A73">
              <w:t>3</w:t>
            </w:r>
          </w:p>
        </w:tc>
        <w:tc>
          <w:tcPr>
            <w:tcW w:w="2360" w:type="dxa"/>
            <w:tcBorders>
              <w:top w:val="nil"/>
              <w:left w:val="nil"/>
              <w:bottom w:val="nil"/>
              <w:right w:val="nil"/>
            </w:tcBorders>
            <w:shd w:val="clear" w:color="auto" w:fill="auto"/>
            <w:noWrap/>
            <w:vAlign w:val="bottom"/>
            <w:hideMark/>
          </w:tcPr>
          <w:p w14:paraId="1C1C1960" w14:textId="52F17408" w:rsidR="00104DD0" w:rsidRPr="00104DD0" w:rsidRDefault="00104DD0" w:rsidP="00104DD0">
            <w:pPr>
              <w:keepLines/>
              <w:jc w:val="center"/>
            </w:pPr>
            <w:r w:rsidRPr="00104DD0">
              <w:t>-45%</w:t>
            </w:r>
          </w:p>
        </w:tc>
        <w:tc>
          <w:tcPr>
            <w:tcW w:w="2360" w:type="dxa"/>
            <w:tcBorders>
              <w:top w:val="nil"/>
              <w:left w:val="nil"/>
              <w:bottom w:val="nil"/>
              <w:right w:val="nil"/>
            </w:tcBorders>
            <w:shd w:val="clear" w:color="auto" w:fill="auto"/>
            <w:noWrap/>
            <w:vAlign w:val="bottom"/>
            <w:hideMark/>
          </w:tcPr>
          <w:p w14:paraId="7D062A00" w14:textId="747A5317" w:rsidR="00104DD0" w:rsidRPr="00104DD0" w:rsidRDefault="00104DD0" w:rsidP="00104DD0">
            <w:pPr>
              <w:keepLines/>
              <w:jc w:val="center"/>
            </w:pPr>
            <w:r w:rsidRPr="00104DD0">
              <w:t>-47%</w:t>
            </w:r>
          </w:p>
        </w:tc>
        <w:tc>
          <w:tcPr>
            <w:tcW w:w="2220" w:type="dxa"/>
            <w:tcBorders>
              <w:top w:val="nil"/>
              <w:left w:val="nil"/>
              <w:bottom w:val="nil"/>
              <w:right w:val="nil"/>
            </w:tcBorders>
            <w:shd w:val="clear" w:color="auto" w:fill="auto"/>
            <w:noWrap/>
            <w:vAlign w:val="bottom"/>
            <w:hideMark/>
          </w:tcPr>
          <w:p w14:paraId="70862FB1" w14:textId="0DD33D4F" w:rsidR="00104DD0" w:rsidRPr="00104DD0" w:rsidRDefault="00104DD0" w:rsidP="00104DD0">
            <w:pPr>
              <w:keepLines/>
              <w:jc w:val="center"/>
            </w:pPr>
            <w:r w:rsidRPr="00104DD0">
              <w:t>41%</w:t>
            </w:r>
          </w:p>
        </w:tc>
        <w:tc>
          <w:tcPr>
            <w:tcW w:w="2220" w:type="dxa"/>
            <w:tcBorders>
              <w:top w:val="nil"/>
              <w:left w:val="nil"/>
              <w:bottom w:val="nil"/>
              <w:right w:val="nil"/>
            </w:tcBorders>
            <w:shd w:val="clear" w:color="auto" w:fill="auto"/>
            <w:noWrap/>
            <w:vAlign w:val="bottom"/>
            <w:hideMark/>
          </w:tcPr>
          <w:p w14:paraId="66E09681" w14:textId="68CAFD9D" w:rsidR="00104DD0" w:rsidRPr="00104DD0" w:rsidRDefault="00104DD0" w:rsidP="00104DD0">
            <w:pPr>
              <w:keepLines/>
              <w:jc w:val="center"/>
            </w:pPr>
            <w:r w:rsidRPr="00104DD0">
              <w:t>47%</w:t>
            </w:r>
          </w:p>
        </w:tc>
      </w:tr>
      <w:tr w:rsidR="00104DD0" w:rsidRPr="00B31A73" w14:paraId="43E02F17" w14:textId="77777777" w:rsidTr="00222567">
        <w:trPr>
          <w:trHeight w:val="260"/>
        </w:trPr>
        <w:tc>
          <w:tcPr>
            <w:tcW w:w="1740" w:type="dxa"/>
            <w:tcBorders>
              <w:top w:val="nil"/>
              <w:left w:val="nil"/>
              <w:bottom w:val="nil"/>
              <w:right w:val="nil"/>
            </w:tcBorders>
            <w:shd w:val="clear" w:color="auto" w:fill="auto"/>
            <w:noWrap/>
            <w:vAlign w:val="bottom"/>
            <w:hideMark/>
          </w:tcPr>
          <w:p w14:paraId="3EC2A467" w14:textId="77777777" w:rsidR="00104DD0" w:rsidRPr="00B31A73" w:rsidRDefault="00104DD0" w:rsidP="00104DD0">
            <w:pPr>
              <w:keepLines/>
              <w:jc w:val="center"/>
            </w:pPr>
            <w:r w:rsidRPr="00B31A73">
              <w:t>5</w:t>
            </w:r>
          </w:p>
        </w:tc>
        <w:tc>
          <w:tcPr>
            <w:tcW w:w="2360" w:type="dxa"/>
            <w:tcBorders>
              <w:top w:val="nil"/>
              <w:left w:val="nil"/>
              <w:bottom w:val="nil"/>
              <w:right w:val="nil"/>
            </w:tcBorders>
            <w:shd w:val="clear" w:color="auto" w:fill="auto"/>
            <w:noWrap/>
            <w:vAlign w:val="bottom"/>
            <w:hideMark/>
          </w:tcPr>
          <w:p w14:paraId="4C29E4E6" w14:textId="4780C902" w:rsidR="00104DD0" w:rsidRPr="00104DD0" w:rsidRDefault="00104DD0" w:rsidP="00104DD0">
            <w:pPr>
              <w:keepLines/>
              <w:jc w:val="center"/>
            </w:pPr>
            <w:r w:rsidRPr="00104DD0">
              <w:t>-55%</w:t>
            </w:r>
          </w:p>
        </w:tc>
        <w:tc>
          <w:tcPr>
            <w:tcW w:w="2360" w:type="dxa"/>
            <w:tcBorders>
              <w:top w:val="nil"/>
              <w:left w:val="nil"/>
              <w:bottom w:val="nil"/>
              <w:right w:val="nil"/>
            </w:tcBorders>
            <w:shd w:val="clear" w:color="auto" w:fill="auto"/>
            <w:noWrap/>
            <w:vAlign w:val="bottom"/>
            <w:hideMark/>
          </w:tcPr>
          <w:p w14:paraId="7E3F3174" w14:textId="1340DDA4" w:rsidR="00104DD0" w:rsidRPr="00104DD0" w:rsidRDefault="00104DD0" w:rsidP="00104DD0">
            <w:pPr>
              <w:keepLines/>
              <w:jc w:val="center"/>
            </w:pPr>
            <w:r w:rsidRPr="00104DD0">
              <w:t>-53%</w:t>
            </w:r>
          </w:p>
        </w:tc>
        <w:tc>
          <w:tcPr>
            <w:tcW w:w="2220" w:type="dxa"/>
            <w:tcBorders>
              <w:top w:val="nil"/>
              <w:left w:val="nil"/>
              <w:bottom w:val="nil"/>
              <w:right w:val="nil"/>
            </w:tcBorders>
            <w:shd w:val="clear" w:color="auto" w:fill="auto"/>
            <w:noWrap/>
            <w:vAlign w:val="bottom"/>
            <w:hideMark/>
          </w:tcPr>
          <w:p w14:paraId="5959308A" w14:textId="67AF92EC" w:rsidR="00104DD0" w:rsidRPr="00104DD0" w:rsidRDefault="00104DD0" w:rsidP="00104DD0">
            <w:pPr>
              <w:keepLines/>
              <w:jc w:val="center"/>
            </w:pPr>
            <w:r w:rsidRPr="00104DD0">
              <w:t>52%</w:t>
            </w:r>
          </w:p>
        </w:tc>
        <w:tc>
          <w:tcPr>
            <w:tcW w:w="2220" w:type="dxa"/>
            <w:tcBorders>
              <w:top w:val="nil"/>
              <w:left w:val="nil"/>
              <w:bottom w:val="nil"/>
              <w:right w:val="nil"/>
            </w:tcBorders>
            <w:shd w:val="clear" w:color="auto" w:fill="auto"/>
            <w:noWrap/>
            <w:vAlign w:val="bottom"/>
            <w:hideMark/>
          </w:tcPr>
          <w:p w14:paraId="4DA812A5" w14:textId="1EA47A54" w:rsidR="00104DD0" w:rsidRPr="00104DD0" w:rsidRDefault="00104DD0" w:rsidP="00104DD0">
            <w:pPr>
              <w:keepLines/>
              <w:jc w:val="center"/>
            </w:pPr>
            <w:r w:rsidRPr="00104DD0">
              <w:t>53%</w:t>
            </w:r>
          </w:p>
        </w:tc>
      </w:tr>
      <w:tr w:rsidR="00104DD0" w:rsidRPr="00B31A73" w14:paraId="4D89D475" w14:textId="77777777" w:rsidTr="00222567">
        <w:trPr>
          <w:trHeight w:val="260"/>
        </w:trPr>
        <w:tc>
          <w:tcPr>
            <w:tcW w:w="1740" w:type="dxa"/>
            <w:tcBorders>
              <w:top w:val="nil"/>
              <w:left w:val="nil"/>
              <w:bottom w:val="nil"/>
              <w:right w:val="nil"/>
            </w:tcBorders>
            <w:shd w:val="clear" w:color="auto" w:fill="auto"/>
            <w:noWrap/>
            <w:vAlign w:val="bottom"/>
            <w:hideMark/>
          </w:tcPr>
          <w:p w14:paraId="0A7B5575" w14:textId="77777777" w:rsidR="00104DD0" w:rsidRPr="00B31A73" w:rsidRDefault="00104DD0" w:rsidP="00104DD0">
            <w:pPr>
              <w:keepLines/>
              <w:jc w:val="center"/>
            </w:pPr>
            <w:r w:rsidRPr="00B31A73">
              <w:t>8</w:t>
            </w:r>
          </w:p>
        </w:tc>
        <w:tc>
          <w:tcPr>
            <w:tcW w:w="2360" w:type="dxa"/>
            <w:tcBorders>
              <w:top w:val="nil"/>
              <w:left w:val="nil"/>
              <w:bottom w:val="nil"/>
              <w:right w:val="nil"/>
            </w:tcBorders>
            <w:shd w:val="clear" w:color="auto" w:fill="auto"/>
            <w:noWrap/>
            <w:vAlign w:val="bottom"/>
            <w:hideMark/>
          </w:tcPr>
          <w:p w14:paraId="388A23A6" w14:textId="397F1926" w:rsidR="00104DD0" w:rsidRPr="00104DD0" w:rsidRDefault="00104DD0" w:rsidP="00104DD0">
            <w:pPr>
              <w:keepLines/>
              <w:jc w:val="center"/>
            </w:pPr>
            <w:r w:rsidRPr="00104DD0">
              <w:t>-68%</w:t>
            </w:r>
          </w:p>
        </w:tc>
        <w:tc>
          <w:tcPr>
            <w:tcW w:w="2360" w:type="dxa"/>
            <w:tcBorders>
              <w:top w:val="nil"/>
              <w:left w:val="nil"/>
              <w:bottom w:val="nil"/>
              <w:right w:val="nil"/>
            </w:tcBorders>
            <w:shd w:val="clear" w:color="auto" w:fill="auto"/>
            <w:noWrap/>
            <w:vAlign w:val="bottom"/>
            <w:hideMark/>
          </w:tcPr>
          <w:p w14:paraId="26866F59" w14:textId="540B5CDF" w:rsidR="00104DD0" w:rsidRPr="00104DD0" w:rsidRDefault="00104DD0" w:rsidP="00104DD0">
            <w:pPr>
              <w:keepLines/>
              <w:jc w:val="center"/>
            </w:pPr>
            <w:r w:rsidRPr="00104DD0">
              <w:t>-63%</w:t>
            </w:r>
          </w:p>
        </w:tc>
        <w:tc>
          <w:tcPr>
            <w:tcW w:w="2220" w:type="dxa"/>
            <w:tcBorders>
              <w:top w:val="nil"/>
              <w:left w:val="nil"/>
              <w:bottom w:val="nil"/>
              <w:right w:val="nil"/>
            </w:tcBorders>
            <w:shd w:val="clear" w:color="auto" w:fill="auto"/>
            <w:noWrap/>
            <w:vAlign w:val="bottom"/>
            <w:hideMark/>
          </w:tcPr>
          <w:p w14:paraId="0E6A6D38" w14:textId="5B6FFDF0" w:rsidR="00104DD0" w:rsidRPr="00104DD0" w:rsidRDefault="00104DD0" w:rsidP="00104DD0">
            <w:pPr>
              <w:keepLines/>
              <w:jc w:val="center"/>
            </w:pPr>
            <w:r w:rsidRPr="00104DD0">
              <w:t>66%</w:t>
            </w:r>
          </w:p>
        </w:tc>
        <w:tc>
          <w:tcPr>
            <w:tcW w:w="2220" w:type="dxa"/>
            <w:tcBorders>
              <w:top w:val="nil"/>
              <w:left w:val="nil"/>
              <w:bottom w:val="nil"/>
              <w:right w:val="nil"/>
            </w:tcBorders>
            <w:shd w:val="clear" w:color="auto" w:fill="auto"/>
            <w:noWrap/>
            <w:vAlign w:val="bottom"/>
            <w:hideMark/>
          </w:tcPr>
          <w:p w14:paraId="23ECC68D" w14:textId="777DA517" w:rsidR="00104DD0" w:rsidRPr="00104DD0" w:rsidRDefault="00104DD0" w:rsidP="00104DD0">
            <w:pPr>
              <w:keepLines/>
              <w:jc w:val="center"/>
            </w:pPr>
            <w:r w:rsidRPr="00104DD0">
              <w:t>63%</w:t>
            </w:r>
          </w:p>
        </w:tc>
      </w:tr>
      <w:tr w:rsidR="00104DD0" w:rsidRPr="00B31A73" w14:paraId="69AD6068" w14:textId="77777777" w:rsidTr="00222567">
        <w:trPr>
          <w:trHeight w:val="260"/>
        </w:trPr>
        <w:tc>
          <w:tcPr>
            <w:tcW w:w="1740" w:type="dxa"/>
            <w:tcBorders>
              <w:top w:val="nil"/>
              <w:left w:val="nil"/>
              <w:bottom w:val="nil"/>
              <w:right w:val="nil"/>
            </w:tcBorders>
            <w:shd w:val="clear" w:color="auto" w:fill="auto"/>
            <w:noWrap/>
            <w:vAlign w:val="bottom"/>
            <w:hideMark/>
          </w:tcPr>
          <w:p w14:paraId="3BA8600D" w14:textId="77777777" w:rsidR="00104DD0" w:rsidRPr="00B31A73" w:rsidRDefault="00104DD0" w:rsidP="00104DD0">
            <w:pPr>
              <w:keepLines/>
              <w:jc w:val="center"/>
            </w:pPr>
            <w:r w:rsidRPr="00B31A73">
              <w:t>10</w:t>
            </w:r>
          </w:p>
        </w:tc>
        <w:tc>
          <w:tcPr>
            <w:tcW w:w="2360" w:type="dxa"/>
            <w:tcBorders>
              <w:top w:val="nil"/>
              <w:left w:val="nil"/>
              <w:bottom w:val="nil"/>
              <w:right w:val="nil"/>
            </w:tcBorders>
            <w:shd w:val="clear" w:color="auto" w:fill="auto"/>
            <w:noWrap/>
            <w:vAlign w:val="bottom"/>
            <w:hideMark/>
          </w:tcPr>
          <w:p w14:paraId="45799A81" w14:textId="0F0F4741" w:rsidR="00104DD0" w:rsidRPr="00104DD0" w:rsidRDefault="00104DD0" w:rsidP="00104DD0">
            <w:pPr>
              <w:keepLines/>
              <w:jc w:val="center"/>
            </w:pPr>
            <w:r w:rsidRPr="00104DD0">
              <w:t>-77%</w:t>
            </w:r>
          </w:p>
        </w:tc>
        <w:tc>
          <w:tcPr>
            <w:tcW w:w="2360" w:type="dxa"/>
            <w:tcBorders>
              <w:top w:val="nil"/>
              <w:left w:val="nil"/>
              <w:bottom w:val="nil"/>
              <w:right w:val="nil"/>
            </w:tcBorders>
            <w:shd w:val="clear" w:color="auto" w:fill="auto"/>
            <w:noWrap/>
            <w:vAlign w:val="bottom"/>
            <w:hideMark/>
          </w:tcPr>
          <w:p w14:paraId="65292126" w14:textId="59F13554" w:rsidR="00104DD0" w:rsidRPr="00104DD0" w:rsidRDefault="00104DD0" w:rsidP="00104DD0">
            <w:pPr>
              <w:keepLines/>
              <w:jc w:val="center"/>
            </w:pPr>
            <w:r w:rsidRPr="00104DD0">
              <w:t>-73%</w:t>
            </w:r>
          </w:p>
        </w:tc>
        <w:tc>
          <w:tcPr>
            <w:tcW w:w="2220" w:type="dxa"/>
            <w:tcBorders>
              <w:top w:val="nil"/>
              <w:left w:val="nil"/>
              <w:bottom w:val="nil"/>
              <w:right w:val="nil"/>
            </w:tcBorders>
            <w:shd w:val="clear" w:color="auto" w:fill="auto"/>
            <w:noWrap/>
            <w:vAlign w:val="bottom"/>
            <w:hideMark/>
          </w:tcPr>
          <w:p w14:paraId="75E9AA49" w14:textId="79BD87BC" w:rsidR="00104DD0" w:rsidRPr="00104DD0" w:rsidRDefault="00104DD0" w:rsidP="00104DD0">
            <w:pPr>
              <w:keepLines/>
              <w:jc w:val="center"/>
            </w:pPr>
            <w:r w:rsidRPr="00104DD0">
              <w:t>75%</w:t>
            </w:r>
          </w:p>
        </w:tc>
        <w:tc>
          <w:tcPr>
            <w:tcW w:w="2220" w:type="dxa"/>
            <w:tcBorders>
              <w:top w:val="nil"/>
              <w:left w:val="nil"/>
              <w:bottom w:val="nil"/>
              <w:right w:val="nil"/>
            </w:tcBorders>
            <w:shd w:val="clear" w:color="auto" w:fill="auto"/>
            <w:noWrap/>
            <w:vAlign w:val="bottom"/>
            <w:hideMark/>
          </w:tcPr>
          <w:p w14:paraId="2036998C" w14:textId="4D9EC348" w:rsidR="00104DD0" w:rsidRPr="00104DD0" w:rsidRDefault="00104DD0" w:rsidP="00104DD0">
            <w:pPr>
              <w:keepLines/>
              <w:jc w:val="center"/>
            </w:pPr>
            <w:r w:rsidRPr="00104DD0">
              <w:t>73%</w:t>
            </w:r>
          </w:p>
        </w:tc>
      </w:tr>
      <w:tr w:rsidR="00104DD0" w:rsidRPr="00B31A73" w14:paraId="5395B793" w14:textId="77777777" w:rsidTr="00222567">
        <w:trPr>
          <w:trHeight w:val="260"/>
        </w:trPr>
        <w:tc>
          <w:tcPr>
            <w:tcW w:w="1740" w:type="dxa"/>
            <w:tcBorders>
              <w:top w:val="nil"/>
              <w:left w:val="nil"/>
              <w:bottom w:val="nil"/>
              <w:right w:val="nil"/>
            </w:tcBorders>
            <w:shd w:val="clear" w:color="auto" w:fill="auto"/>
            <w:noWrap/>
            <w:vAlign w:val="bottom"/>
            <w:hideMark/>
          </w:tcPr>
          <w:p w14:paraId="3B5859BC" w14:textId="77777777" w:rsidR="00104DD0" w:rsidRPr="00B31A73" w:rsidRDefault="00104DD0" w:rsidP="00104DD0">
            <w:pPr>
              <w:keepLines/>
              <w:jc w:val="center"/>
            </w:pPr>
            <w:r w:rsidRPr="00B31A73">
              <w:t>12</w:t>
            </w:r>
          </w:p>
        </w:tc>
        <w:tc>
          <w:tcPr>
            <w:tcW w:w="2360" w:type="dxa"/>
            <w:tcBorders>
              <w:top w:val="nil"/>
              <w:left w:val="nil"/>
              <w:bottom w:val="nil"/>
              <w:right w:val="nil"/>
            </w:tcBorders>
            <w:shd w:val="clear" w:color="auto" w:fill="auto"/>
            <w:noWrap/>
            <w:vAlign w:val="bottom"/>
            <w:hideMark/>
          </w:tcPr>
          <w:p w14:paraId="477766F9" w14:textId="1CBE361A" w:rsidR="00104DD0" w:rsidRPr="00104DD0" w:rsidRDefault="00104DD0" w:rsidP="00104DD0">
            <w:pPr>
              <w:keepLines/>
              <w:jc w:val="center"/>
            </w:pPr>
            <w:r w:rsidRPr="00104DD0">
              <w:t>-79%</w:t>
            </w:r>
          </w:p>
        </w:tc>
        <w:tc>
          <w:tcPr>
            <w:tcW w:w="2360" w:type="dxa"/>
            <w:tcBorders>
              <w:top w:val="nil"/>
              <w:left w:val="nil"/>
              <w:bottom w:val="nil"/>
              <w:right w:val="nil"/>
            </w:tcBorders>
            <w:shd w:val="clear" w:color="auto" w:fill="auto"/>
            <w:noWrap/>
            <w:vAlign w:val="bottom"/>
            <w:hideMark/>
          </w:tcPr>
          <w:p w14:paraId="4AB64AF4" w14:textId="2F79935B" w:rsidR="00104DD0" w:rsidRPr="00104DD0" w:rsidRDefault="00104DD0" w:rsidP="00104DD0">
            <w:pPr>
              <w:keepLines/>
              <w:jc w:val="center"/>
            </w:pPr>
            <w:r w:rsidRPr="00104DD0">
              <w:t>-74%</w:t>
            </w:r>
          </w:p>
        </w:tc>
        <w:tc>
          <w:tcPr>
            <w:tcW w:w="2220" w:type="dxa"/>
            <w:tcBorders>
              <w:top w:val="nil"/>
              <w:left w:val="nil"/>
              <w:bottom w:val="nil"/>
              <w:right w:val="nil"/>
            </w:tcBorders>
            <w:shd w:val="clear" w:color="auto" w:fill="auto"/>
            <w:noWrap/>
            <w:vAlign w:val="bottom"/>
            <w:hideMark/>
          </w:tcPr>
          <w:p w14:paraId="4E664D14" w14:textId="16CA44E3" w:rsidR="00104DD0" w:rsidRPr="00104DD0" w:rsidRDefault="00104DD0" w:rsidP="00104DD0">
            <w:pPr>
              <w:keepLines/>
              <w:jc w:val="center"/>
            </w:pPr>
            <w:r w:rsidRPr="00104DD0">
              <w:t>77%</w:t>
            </w:r>
          </w:p>
        </w:tc>
        <w:tc>
          <w:tcPr>
            <w:tcW w:w="2220" w:type="dxa"/>
            <w:tcBorders>
              <w:top w:val="nil"/>
              <w:left w:val="nil"/>
              <w:bottom w:val="nil"/>
              <w:right w:val="nil"/>
            </w:tcBorders>
            <w:shd w:val="clear" w:color="auto" w:fill="auto"/>
            <w:noWrap/>
            <w:vAlign w:val="bottom"/>
            <w:hideMark/>
          </w:tcPr>
          <w:p w14:paraId="45A7DB52" w14:textId="5E8217CB" w:rsidR="00104DD0" w:rsidRPr="00104DD0" w:rsidRDefault="00104DD0" w:rsidP="00104DD0">
            <w:pPr>
              <w:keepLines/>
              <w:jc w:val="center"/>
            </w:pPr>
            <w:r w:rsidRPr="00104DD0">
              <w:t>74%</w:t>
            </w:r>
          </w:p>
        </w:tc>
      </w:tr>
      <w:tr w:rsidR="00104DD0" w:rsidRPr="00B31A73" w14:paraId="4B92D429" w14:textId="77777777" w:rsidTr="00222567">
        <w:trPr>
          <w:trHeight w:val="260"/>
        </w:trPr>
        <w:tc>
          <w:tcPr>
            <w:tcW w:w="1740" w:type="dxa"/>
            <w:tcBorders>
              <w:top w:val="nil"/>
              <w:left w:val="nil"/>
              <w:bottom w:val="nil"/>
              <w:right w:val="nil"/>
            </w:tcBorders>
            <w:shd w:val="clear" w:color="auto" w:fill="auto"/>
            <w:noWrap/>
            <w:vAlign w:val="bottom"/>
            <w:hideMark/>
          </w:tcPr>
          <w:p w14:paraId="31B053A0" w14:textId="77777777" w:rsidR="00104DD0" w:rsidRPr="00B31A73" w:rsidRDefault="00104DD0" w:rsidP="00104DD0">
            <w:pPr>
              <w:keepLines/>
              <w:jc w:val="center"/>
            </w:pPr>
            <w:r w:rsidRPr="00B31A73">
              <w:t>15</w:t>
            </w:r>
          </w:p>
        </w:tc>
        <w:tc>
          <w:tcPr>
            <w:tcW w:w="2360" w:type="dxa"/>
            <w:tcBorders>
              <w:top w:val="nil"/>
              <w:left w:val="nil"/>
              <w:bottom w:val="nil"/>
              <w:right w:val="nil"/>
            </w:tcBorders>
            <w:shd w:val="clear" w:color="auto" w:fill="auto"/>
            <w:noWrap/>
            <w:vAlign w:val="bottom"/>
            <w:hideMark/>
          </w:tcPr>
          <w:p w14:paraId="5484F711" w14:textId="4DDC704D" w:rsidR="00104DD0" w:rsidRPr="00104DD0" w:rsidRDefault="00104DD0" w:rsidP="00104DD0">
            <w:pPr>
              <w:keepLines/>
              <w:jc w:val="center"/>
            </w:pPr>
            <w:r w:rsidRPr="00104DD0">
              <w:t>-83%</w:t>
            </w:r>
          </w:p>
        </w:tc>
        <w:tc>
          <w:tcPr>
            <w:tcW w:w="2360" w:type="dxa"/>
            <w:tcBorders>
              <w:top w:val="nil"/>
              <w:left w:val="nil"/>
              <w:bottom w:val="nil"/>
              <w:right w:val="nil"/>
            </w:tcBorders>
            <w:shd w:val="clear" w:color="auto" w:fill="auto"/>
            <w:noWrap/>
            <w:vAlign w:val="bottom"/>
            <w:hideMark/>
          </w:tcPr>
          <w:p w14:paraId="0C072E21" w14:textId="04F0880C" w:rsidR="00104DD0" w:rsidRPr="00104DD0" w:rsidRDefault="00104DD0" w:rsidP="00104DD0">
            <w:pPr>
              <w:keepLines/>
              <w:jc w:val="center"/>
            </w:pPr>
            <w:r w:rsidRPr="00104DD0">
              <w:t>-72%</w:t>
            </w:r>
          </w:p>
        </w:tc>
        <w:tc>
          <w:tcPr>
            <w:tcW w:w="2220" w:type="dxa"/>
            <w:tcBorders>
              <w:top w:val="nil"/>
              <w:left w:val="nil"/>
              <w:bottom w:val="nil"/>
              <w:right w:val="nil"/>
            </w:tcBorders>
            <w:shd w:val="clear" w:color="auto" w:fill="auto"/>
            <w:noWrap/>
            <w:vAlign w:val="bottom"/>
            <w:hideMark/>
          </w:tcPr>
          <w:p w14:paraId="0A81717F" w14:textId="01156ADF" w:rsidR="00104DD0" w:rsidRPr="00104DD0" w:rsidRDefault="00104DD0" w:rsidP="00104DD0">
            <w:pPr>
              <w:keepLines/>
              <w:jc w:val="center"/>
            </w:pPr>
            <w:r w:rsidRPr="00104DD0">
              <w:t>82%</w:t>
            </w:r>
          </w:p>
        </w:tc>
        <w:tc>
          <w:tcPr>
            <w:tcW w:w="2220" w:type="dxa"/>
            <w:tcBorders>
              <w:top w:val="nil"/>
              <w:left w:val="nil"/>
              <w:bottom w:val="nil"/>
              <w:right w:val="nil"/>
            </w:tcBorders>
            <w:shd w:val="clear" w:color="auto" w:fill="auto"/>
            <w:noWrap/>
            <w:vAlign w:val="bottom"/>
            <w:hideMark/>
          </w:tcPr>
          <w:p w14:paraId="22EBCFE2" w14:textId="1039062D" w:rsidR="00104DD0" w:rsidRPr="00104DD0" w:rsidRDefault="00104DD0" w:rsidP="00104DD0">
            <w:pPr>
              <w:keepLines/>
              <w:jc w:val="center"/>
            </w:pPr>
            <w:r w:rsidRPr="00104DD0">
              <w:t>72%</w:t>
            </w:r>
          </w:p>
        </w:tc>
      </w:tr>
      <w:tr w:rsidR="00104DD0" w:rsidRPr="00B31A73" w14:paraId="5EA09AF9" w14:textId="77777777" w:rsidTr="00222567">
        <w:trPr>
          <w:trHeight w:val="260"/>
        </w:trPr>
        <w:tc>
          <w:tcPr>
            <w:tcW w:w="1740" w:type="dxa"/>
            <w:tcBorders>
              <w:top w:val="nil"/>
              <w:left w:val="nil"/>
              <w:bottom w:val="nil"/>
              <w:right w:val="nil"/>
            </w:tcBorders>
            <w:shd w:val="clear" w:color="auto" w:fill="auto"/>
            <w:noWrap/>
            <w:vAlign w:val="bottom"/>
            <w:hideMark/>
          </w:tcPr>
          <w:p w14:paraId="5AE21889" w14:textId="77777777" w:rsidR="00104DD0" w:rsidRPr="00B31A73" w:rsidRDefault="00104DD0" w:rsidP="00104DD0">
            <w:pPr>
              <w:keepLines/>
              <w:jc w:val="center"/>
            </w:pPr>
            <w:r w:rsidRPr="00B31A73">
              <w:t>20</w:t>
            </w:r>
          </w:p>
        </w:tc>
        <w:tc>
          <w:tcPr>
            <w:tcW w:w="2360" w:type="dxa"/>
            <w:tcBorders>
              <w:top w:val="nil"/>
              <w:left w:val="nil"/>
              <w:bottom w:val="nil"/>
              <w:right w:val="nil"/>
            </w:tcBorders>
            <w:shd w:val="clear" w:color="auto" w:fill="auto"/>
            <w:noWrap/>
            <w:vAlign w:val="bottom"/>
            <w:hideMark/>
          </w:tcPr>
          <w:p w14:paraId="2ED43256" w14:textId="24F27ADB" w:rsidR="00104DD0" w:rsidRPr="00104DD0" w:rsidRDefault="00104DD0" w:rsidP="00104DD0">
            <w:pPr>
              <w:keepLines/>
              <w:jc w:val="center"/>
            </w:pPr>
            <w:r w:rsidRPr="00104DD0">
              <w:t>-87%</w:t>
            </w:r>
          </w:p>
        </w:tc>
        <w:tc>
          <w:tcPr>
            <w:tcW w:w="2360" w:type="dxa"/>
            <w:tcBorders>
              <w:top w:val="nil"/>
              <w:left w:val="nil"/>
              <w:bottom w:val="nil"/>
              <w:right w:val="nil"/>
            </w:tcBorders>
            <w:shd w:val="clear" w:color="auto" w:fill="auto"/>
            <w:noWrap/>
            <w:vAlign w:val="bottom"/>
            <w:hideMark/>
          </w:tcPr>
          <w:p w14:paraId="1D9BDCAB" w14:textId="4B6427F0" w:rsidR="00104DD0" w:rsidRPr="00104DD0" w:rsidRDefault="00104DD0" w:rsidP="00104DD0">
            <w:pPr>
              <w:keepLines/>
              <w:jc w:val="center"/>
            </w:pPr>
            <w:r w:rsidRPr="00104DD0">
              <w:t>-71%</w:t>
            </w:r>
          </w:p>
        </w:tc>
        <w:tc>
          <w:tcPr>
            <w:tcW w:w="2220" w:type="dxa"/>
            <w:tcBorders>
              <w:top w:val="nil"/>
              <w:left w:val="nil"/>
              <w:bottom w:val="nil"/>
              <w:right w:val="nil"/>
            </w:tcBorders>
            <w:shd w:val="clear" w:color="auto" w:fill="auto"/>
            <w:noWrap/>
            <w:vAlign w:val="bottom"/>
            <w:hideMark/>
          </w:tcPr>
          <w:p w14:paraId="7F6D5446" w14:textId="769F25D1" w:rsidR="00104DD0" w:rsidRPr="00104DD0" w:rsidRDefault="00104DD0" w:rsidP="00104DD0">
            <w:pPr>
              <w:keepLines/>
              <w:jc w:val="center"/>
            </w:pPr>
            <w:r w:rsidRPr="00104DD0">
              <w:t>76%</w:t>
            </w:r>
          </w:p>
        </w:tc>
        <w:tc>
          <w:tcPr>
            <w:tcW w:w="2220" w:type="dxa"/>
            <w:tcBorders>
              <w:top w:val="nil"/>
              <w:left w:val="nil"/>
              <w:bottom w:val="nil"/>
              <w:right w:val="nil"/>
            </w:tcBorders>
            <w:shd w:val="clear" w:color="auto" w:fill="auto"/>
            <w:noWrap/>
            <w:vAlign w:val="bottom"/>
            <w:hideMark/>
          </w:tcPr>
          <w:p w14:paraId="2046FE90" w14:textId="46CB46B5" w:rsidR="00104DD0" w:rsidRPr="00104DD0" w:rsidRDefault="00104DD0" w:rsidP="00104DD0">
            <w:pPr>
              <w:keepLines/>
              <w:jc w:val="center"/>
            </w:pPr>
            <w:r w:rsidRPr="00104DD0">
              <w:t>71%</w:t>
            </w:r>
          </w:p>
        </w:tc>
      </w:tr>
      <w:tr w:rsidR="00104DD0" w:rsidRPr="00B31A73" w14:paraId="1CEB1C29" w14:textId="77777777" w:rsidTr="00222567">
        <w:trPr>
          <w:trHeight w:val="260"/>
        </w:trPr>
        <w:tc>
          <w:tcPr>
            <w:tcW w:w="1740" w:type="dxa"/>
            <w:tcBorders>
              <w:top w:val="nil"/>
              <w:left w:val="nil"/>
              <w:bottom w:val="nil"/>
              <w:right w:val="nil"/>
            </w:tcBorders>
            <w:shd w:val="clear" w:color="auto" w:fill="auto"/>
            <w:noWrap/>
            <w:vAlign w:val="bottom"/>
            <w:hideMark/>
          </w:tcPr>
          <w:p w14:paraId="5266394B" w14:textId="77777777" w:rsidR="00104DD0" w:rsidRPr="00B31A73" w:rsidRDefault="00104DD0" w:rsidP="00104DD0">
            <w:pPr>
              <w:keepLines/>
              <w:jc w:val="center"/>
            </w:pPr>
            <w:r w:rsidRPr="00B31A73">
              <w:t>25</w:t>
            </w:r>
          </w:p>
        </w:tc>
        <w:tc>
          <w:tcPr>
            <w:tcW w:w="2360" w:type="dxa"/>
            <w:tcBorders>
              <w:top w:val="nil"/>
              <w:left w:val="nil"/>
              <w:bottom w:val="nil"/>
              <w:right w:val="nil"/>
            </w:tcBorders>
            <w:shd w:val="clear" w:color="auto" w:fill="auto"/>
            <w:noWrap/>
            <w:vAlign w:val="bottom"/>
            <w:hideMark/>
          </w:tcPr>
          <w:p w14:paraId="36B0CF3C" w14:textId="4823B832" w:rsidR="00104DD0" w:rsidRPr="00104DD0" w:rsidRDefault="00104DD0" w:rsidP="00104DD0">
            <w:pPr>
              <w:keepLines/>
              <w:jc w:val="center"/>
            </w:pPr>
            <w:r w:rsidRPr="00104DD0">
              <w:t>-87%</w:t>
            </w:r>
          </w:p>
        </w:tc>
        <w:tc>
          <w:tcPr>
            <w:tcW w:w="2360" w:type="dxa"/>
            <w:tcBorders>
              <w:top w:val="nil"/>
              <w:left w:val="nil"/>
              <w:bottom w:val="nil"/>
              <w:right w:val="nil"/>
            </w:tcBorders>
            <w:shd w:val="clear" w:color="auto" w:fill="auto"/>
            <w:noWrap/>
            <w:vAlign w:val="bottom"/>
            <w:hideMark/>
          </w:tcPr>
          <w:p w14:paraId="380AF43C" w14:textId="408FB19B" w:rsidR="00104DD0" w:rsidRPr="00104DD0" w:rsidRDefault="00104DD0" w:rsidP="00104DD0">
            <w:pPr>
              <w:keepLines/>
              <w:jc w:val="center"/>
            </w:pPr>
            <w:r w:rsidRPr="00104DD0">
              <w:t>-58%</w:t>
            </w:r>
          </w:p>
        </w:tc>
        <w:tc>
          <w:tcPr>
            <w:tcW w:w="2220" w:type="dxa"/>
            <w:tcBorders>
              <w:top w:val="nil"/>
              <w:left w:val="nil"/>
              <w:bottom w:val="nil"/>
              <w:right w:val="nil"/>
            </w:tcBorders>
            <w:shd w:val="clear" w:color="auto" w:fill="auto"/>
            <w:noWrap/>
            <w:vAlign w:val="bottom"/>
            <w:hideMark/>
          </w:tcPr>
          <w:p w14:paraId="1748678F" w14:textId="2748C49E" w:rsidR="00104DD0" w:rsidRPr="00104DD0" w:rsidRDefault="00104DD0" w:rsidP="00104DD0">
            <w:pPr>
              <w:keepLines/>
              <w:jc w:val="center"/>
            </w:pPr>
            <w:r w:rsidRPr="00104DD0">
              <w:t>51%</w:t>
            </w:r>
          </w:p>
        </w:tc>
        <w:tc>
          <w:tcPr>
            <w:tcW w:w="2220" w:type="dxa"/>
            <w:tcBorders>
              <w:top w:val="nil"/>
              <w:left w:val="nil"/>
              <w:bottom w:val="nil"/>
              <w:right w:val="nil"/>
            </w:tcBorders>
            <w:shd w:val="clear" w:color="auto" w:fill="auto"/>
            <w:noWrap/>
            <w:vAlign w:val="bottom"/>
            <w:hideMark/>
          </w:tcPr>
          <w:p w14:paraId="4FB9908C" w14:textId="2CEDCADB" w:rsidR="00104DD0" w:rsidRPr="00104DD0" w:rsidRDefault="00104DD0" w:rsidP="00104DD0">
            <w:pPr>
              <w:keepLines/>
              <w:jc w:val="center"/>
            </w:pPr>
            <w:r w:rsidRPr="00104DD0">
              <w:t>58%</w:t>
            </w:r>
          </w:p>
        </w:tc>
      </w:tr>
      <w:tr w:rsidR="00104DD0" w:rsidRPr="00B31A73" w14:paraId="30CD788E" w14:textId="77777777" w:rsidTr="00222567">
        <w:trPr>
          <w:trHeight w:val="260"/>
        </w:trPr>
        <w:tc>
          <w:tcPr>
            <w:tcW w:w="1740" w:type="dxa"/>
            <w:tcBorders>
              <w:top w:val="nil"/>
              <w:left w:val="nil"/>
              <w:bottom w:val="nil"/>
              <w:right w:val="nil"/>
            </w:tcBorders>
            <w:shd w:val="clear" w:color="auto" w:fill="auto"/>
            <w:noWrap/>
            <w:vAlign w:val="bottom"/>
            <w:hideMark/>
          </w:tcPr>
          <w:p w14:paraId="02A40772" w14:textId="77777777" w:rsidR="00104DD0" w:rsidRPr="00B31A73" w:rsidRDefault="00104DD0" w:rsidP="00104DD0">
            <w:pPr>
              <w:keepLines/>
              <w:jc w:val="center"/>
            </w:pPr>
            <w:r w:rsidRPr="00B31A73">
              <w:t>30</w:t>
            </w:r>
          </w:p>
        </w:tc>
        <w:tc>
          <w:tcPr>
            <w:tcW w:w="2360" w:type="dxa"/>
            <w:tcBorders>
              <w:top w:val="nil"/>
              <w:left w:val="nil"/>
              <w:bottom w:val="nil"/>
              <w:right w:val="nil"/>
            </w:tcBorders>
            <w:shd w:val="clear" w:color="auto" w:fill="auto"/>
            <w:noWrap/>
            <w:vAlign w:val="bottom"/>
            <w:hideMark/>
          </w:tcPr>
          <w:p w14:paraId="69BE5CE1" w14:textId="4A72702E" w:rsidR="00104DD0" w:rsidRPr="00104DD0" w:rsidRDefault="00104DD0" w:rsidP="00104DD0">
            <w:pPr>
              <w:keepLines/>
              <w:jc w:val="center"/>
            </w:pPr>
            <w:r w:rsidRPr="00104DD0">
              <w:t>-83%</w:t>
            </w:r>
          </w:p>
        </w:tc>
        <w:tc>
          <w:tcPr>
            <w:tcW w:w="2360" w:type="dxa"/>
            <w:tcBorders>
              <w:top w:val="nil"/>
              <w:left w:val="nil"/>
              <w:bottom w:val="nil"/>
              <w:right w:val="nil"/>
            </w:tcBorders>
            <w:shd w:val="clear" w:color="auto" w:fill="auto"/>
            <w:noWrap/>
            <w:vAlign w:val="bottom"/>
            <w:hideMark/>
          </w:tcPr>
          <w:p w14:paraId="46FE13FC" w14:textId="5DDE41FB" w:rsidR="00104DD0" w:rsidRPr="00104DD0" w:rsidRDefault="00104DD0" w:rsidP="00104DD0">
            <w:pPr>
              <w:keepLines/>
              <w:jc w:val="center"/>
            </w:pPr>
            <w:r w:rsidRPr="00104DD0">
              <w:t>-38%</w:t>
            </w:r>
          </w:p>
        </w:tc>
        <w:tc>
          <w:tcPr>
            <w:tcW w:w="2220" w:type="dxa"/>
            <w:tcBorders>
              <w:top w:val="nil"/>
              <w:left w:val="nil"/>
              <w:bottom w:val="nil"/>
              <w:right w:val="nil"/>
            </w:tcBorders>
            <w:shd w:val="clear" w:color="auto" w:fill="auto"/>
            <w:noWrap/>
            <w:vAlign w:val="bottom"/>
            <w:hideMark/>
          </w:tcPr>
          <w:p w14:paraId="1C5178C6" w14:textId="474DC504" w:rsidR="00104DD0" w:rsidRPr="00104DD0" w:rsidRDefault="00104DD0" w:rsidP="00104DD0">
            <w:pPr>
              <w:keepLines/>
              <w:jc w:val="center"/>
            </w:pPr>
            <w:r w:rsidRPr="00104DD0">
              <w:t>23%</w:t>
            </w:r>
          </w:p>
        </w:tc>
        <w:tc>
          <w:tcPr>
            <w:tcW w:w="2220" w:type="dxa"/>
            <w:tcBorders>
              <w:top w:val="nil"/>
              <w:left w:val="nil"/>
              <w:bottom w:val="nil"/>
              <w:right w:val="nil"/>
            </w:tcBorders>
            <w:shd w:val="clear" w:color="auto" w:fill="auto"/>
            <w:noWrap/>
            <w:vAlign w:val="bottom"/>
            <w:hideMark/>
          </w:tcPr>
          <w:p w14:paraId="7C930FAE" w14:textId="521725B1" w:rsidR="00104DD0" w:rsidRPr="00104DD0" w:rsidRDefault="00104DD0" w:rsidP="00104DD0">
            <w:pPr>
              <w:keepLines/>
              <w:jc w:val="center"/>
            </w:pPr>
            <w:r w:rsidRPr="00104DD0">
              <w:t>38%</w:t>
            </w:r>
          </w:p>
        </w:tc>
      </w:tr>
      <w:tr w:rsidR="00370BC3" w:rsidRPr="00B31A73" w14:paraId="58FAF1D6" w14:textId="77777777" w:rsidTr="00222567">
        <w:trPr>
          <w:trHeight w:val="260"/>
        </w:trPr>
        <w:tc>
          <w:tcPr>
            <w:tcW w:w="1740" w:type="dxa"/>
            <w:tcBorders>
              <w:top w:val="nil"/>
              <w:left w:val="nil"/>
              <w:bottom w:val="nil"/>
              <w:right w:val="nil"/>
            </w:tcBorders>
            <w:shd w:val="clear" w:color="auto" w:fill="auto"/>
            <w:noWrap/>
            <w:vAlign w:val="bottom"/>
            <w:hideMark/>
          </w:tcPr>
          <w:p w14:paraId="55969A41" w14:textId="77777777" w:rsidR="00370BC3" w:rsidRPr="00B31A73" w:rsidRDefault="00370BC3" w:rsidP="009313C3">
            <w:pPr>
              <w:keepLines/>
              <w:jc w:val="center"/>
            </w:pPr>
          </w:p>
        </w:tc>
        <w:tc>
          <w:tcPr>
            <w:tcW w:w="2360" w:type="dxa"/>
            <w:tcBorders>
              <w:top w:val="nil"/>
              <w:left w:val="nil"/>
              <w:bottom w:val="nil"/>
              <w:right w:val="nil"/>
            </w:tcBorders>
            <w:shd w:val="clear" w:color="auto" w:fill="auto"/>
            <w:noWrap/>
            <w:vAlign w:val="bottom"/>
            <w:hideMark/>
          </w:tcPr>
          <w:p w14:paraId="0DA89213" w14:textId="77777777" w:rsidR="00370BC3" w:rsidRPr="00B31A73" w:rsidRDefault="00370BC3" w:rsidP="009313C3">
            <w:pPr>
              <w:keepLines/>
            </w:pPr>
          </w:p>
        </w:tc>
        <w:tc>
          <w:tcPr>
            <w:tcW w:w="2360" w:type="dxa"/>
            <w:tcBorders>
              <w:top w:val="nil"/>
              <w:left w:val="nil"/>
              <w:bottom w:val="nil"/>
              <w:right w:val="nil"/>
            </w:tcBorders>
            <w:shd w:val="clear" w:color="auto" w:fill="auto"/>
            <w:noWrap/>
            <w:vAlign w:val="bottom"/>
            <w:hideMark/>
          </w:tcPr>
          <w:p w14:paraId="16F889F1" w14:textId="77777777" w:rsidR="00370BC3" w:rsidRPr="00B31A73" w:rsidRDefault="00370BC3" w:rsidP="009313C3">
            <w:pPr>
              <w:keepLines/>
            </w:pPr>
          </w:p>
        </w:tc>
        <w:tc>
          <w:tcPr>
            <w:tcW w:w="2220" w:type="dxa"/>
            <w:tcBorders>
              <w:top w:val="nil"/>
              <w:left w:val="nil"/>
              <w:bottom w:val="nil"/>
              <w:right w:val="nil"/>
            </w:tcBorders>
            <w:shd w:val="clear" w:color="auto" w:fill="auto"/>
            <w:noWrap/>
            <w:vAlign w:val="bottom"/>
            <w:hideMark/>
          </w:tcPr>
          <w:p w14:paraId="57D0AE61" w14:textId="77777777" w:rsidR="00370BC3" w:rsidRPr="00B31A73" w:rsidRDefault="00370BC3" w:rsidP="009313C3">
            <w:pPr>
              <w:keepLines/>
            </w:pPr>
          </w:p>
        </w:tc>
        <w:tc>
          <w:tcPr>
            <w:tcW w:w="2220" w:type="dxa"/>
            <w:tcBorders>
              <w:top w:val="nil"/>
              <w:left w:val="nil"/>
              <w:bottom w:val="nil"/>
              <w:right w:val="nil"/>
            </w:tcBorders>
            <w:shd w:val="clear" w:color="auto" w:fill="auto"/>
            <w:noWrap/>
            <w:vAlign w:val="bottom"/>
            <w:hideMark/>
          </w:tcPr>
          <w:p w14:paraId="7BBE922E" w14:textId="77777777" w:rsidR="00370BC3" w:rsidRPr="00B31A73" w:rsidRDefault="00370BC3" w:rsidP="009313C3">
            <w:pPr>
              <w:keepLines/>
            </w:pPr>
          </w:p>
        </w:tc>
      </w:tr>
      <w:tr w:rsidR="00370BC3" w:rsidRPr="00B31A73" w14:paraId="5DC5C1DC" w14:textId="77777777" w:rsidTr="00222567">
        <w:trPr>
          <w:trHeight w:val="260"/>
        </w:trPr>
        <w:tc>
          <w:tcPr>
            <w:tcW w:w="1740" w:type="dxa"/>
            <w:tcBorders>
              <w:top w:val="nil"/>
              <w:left w:val="nil"/>
              <w:bottom w:val="nil"/>
              <w:right w:val="nil"/>
            </w:tcBorders>
            <w:shd w:val="clear" w:color="auto" w:fill="auto"/>
            <w:noWrap/>
            <w:vAlign w:val="bottom"/>
            <w:hideMark/>
          </w:tcPr>
          <w:p w14:paraId="2E1C73CA" w14:textId="77777777" w:rsidR="00370BC3" w:rsidRPr="00B31A73" w:rsidRDefault="00370BC3" w:rsidP="009313C3">
            <w:pPr>
              <w:keepLines/>
            </w:pPr>
          </w:p>
        </w:tc>
        <w:tc>
          <w:tcPr>
            <w:tcW w:w="9160" w:type="dxa"/>
            <w:gridSpan w:val="4"/>
            <w:tcBorders>
              <w:top w:val="nil"/>
              <w:left w:val="nil"/>
              <w:bottom w:val="single" w:sz="4" w:space="0" w:color="auto"/>
              <w:right w:val="nil"/>
            </w:tcBorders>
            <w:shd w:val="clear" w:color="auto" w:fill="auto"/>
            <w:noWrap/>
            <w:vAlign w:val="bottom"/>
            <w:hideMark/>
          </w:tcPr>
          <w:p w14:paraId="1492C615" w14:textId="41BB8EFB" w:rsidR="00370BC3" w:rsidRPr="00B31A73" w:rsidRDefault="00370BC3" w:rsidP="009313C3">
            <w:pPr>
              <w:keepLines/>
              <w:jc w:val="center"/>
            </w:pPr>
            <w:r w:rsidRPr="00B31A73">
              <w:t xml:space="preserve">Correlation (1953 </w:t>
            </w:r>
            <w:proofErr w:type="gramStart"/>
            <w:r w:rsidRPr="00B31A73">
              <w:t>- )</w:t>
            </w:r>
            <w:proofErr w:type="gramEnd"/>
          </w:p>
        </w:tc>
      </w:tr>
      <w:tr w:rsidR="00D72695" w:rsidRPr="00B31A73" w14:paraId="5343DF12" w14:textId="77777777" w:rsidTr="00222567">
        <w:trPr>
          <w:trHeight w:val="260"/>
        </w:trPr>
        <w:tc>
          <w:tcPr>
            <w:tcW w:w="1740" w:type="dxa"/>
            <w:tcBorders>
              <w:top w:val="nil"/>
              <w:left w:val="nil"/>
              <w:bottom w:val="nil"/>
              <w:right w:val="nil"/>
            </w:tcBorders>
            <w:shd w:val="clear" w:color="auto" w:fill="auto"/>
            <w:noWrap/>
            <w:vAlign w:val="bottom"/>
            <w:hideMark/>
          </w:tcPr>
          <w:p w14:paraId="06AAF189" w14:textId="77777777" w:rsidR="00D72695" w:rsidRPr="00B31A73" w:rsidRDefault="00D72695" w:rsidP="00D72695">
            <w:pPr>
              <w:keepLines/>
              <w:jc w:val="center"/>
            </w:pPr>
            <w:r w:rsidRPr="00B31A73">
              <w:t>3</w:t>
            </w:r>
          </w:p>
        </w:tc>
        <w:tc>
          <w:tcPr>
            <w:tcW w:w="2360" w:type="dxa"/>
            <w:tcBorders>
              <w:top w:val="nil"/>
              <w:left w:val="nil"/>
              <w:bottom w:val="nil"/>
              <w:right w:val="nil"/>
            </w:tcBorders>
            <w:shd w:val="clear" w:color="auto" w:fill="auto"/>
            <w:noWrap/>
            <w:vAlign w:val="bottom"/>
            <w:hideMark/>
          </w:tcPr>
          <w:p w14:paraId="6700DBB9" w14:textId="44386EAB" w:rsidR="00D72695" w:rsidRPr="00D72695" w:rsidRDefault="00D72695" w:rsidP="00D72695">
            <w:pPr>
              <w:keepLines/>
              <w:jc w:val="center"/>
            </w:pPr>
            <w:r w:rsidRPr="00D72695">
              <w:t>-60%</w:t>
            </w:r>
          </w:p>
        </w:tc>
        <w:tc>
          <w:tcPr>
            <w:tcW w:w="2360" w:type="dxa"/>
            <w:tcBorders>
              <w:top w:val="nil"/>
              <w:left w:val="nil"/>
              <w:bottom w:val="nil"/>
              <w:right w:val="nil"/>
            </w:tcBorders>
            <w:shd w:val="clear" w:color="auto" w:fill="auto"/>
            <w:noWrap/>
            <w:vAlign w:val="bottom"/>
            <w:hideMark/>
          </w:tcPr>
          <w:p w14:paraId="26FA48F0" w14:textId="76B7C3CA" w:rsidR="00D72695" w:rsidRPr="00D72695" w:rsidRDefault="00D72695" w:rsidP="00D72695">
            <w:pPr>
              <w:keepLines/>
              <w:jc w:val="center"/>
            </w:pPr>
            <w:r w:rsidRPr="00D72695">
              <w:t>-47%</w:t>
            </w:r>
          </w:p>
        </w:tc>
        <w:tc>
          <w:tcPr>
            <w:tcW w:w="2220" w:type="dxa"/>
            <w:tcBorders>
              <w:top w:val="nil"/>
              <w:left w:val="nil"/>
              <w:bottom w:val="nil"/>
              <w:right w:val="nil"/>
            </w:tcBorders>
            <w:shd w:val="clear" w:color="auto" w:fill="auto"/>
            <w:noWrap/>
            <w:vAlign w:val="bottom"/>
            <w:hideMark/>
          </w:tcPr>
          <w:p w14:paraId="6ACCD4E9" w14:textId="447DD67C" w:rsidR="00D72695" w:rsidRPr="00D72695" w:rsidRDefault="00D72695" w:rsidP="00D72695">
            <w:pPr>
              <w:keepLines/>
              <w:jc w:val="center"/>
            </w:pPr>
            <w:r w:rsidRPr="00D72695">
              <w:t>53%</w:t>
            </w:r>
          </w:p>
        </w:tc>
        <w:tc>
          <w:tcPr>
            <w:tcW w:w="2220" w:type="dxa"/>
            <w:tcBorders>
              <w:top w:val="nil"/>
              <w:left w:val="nil"/>
              <w:bottom w:val="nil"/>
              <w:right w:val="nil"/>
            </w:tcBorders>
            <w:shd w:val="clear" w:color="auto" w:fill="auto"/>
            <w:noWrap/>
            <w:vAlign w:val="bottom"/>
            <w:hideMark/>
          </w:tcPr>
          <w:p w14:paraId="4F10D18D" w14:textId="7560242A" w:rsidR="00D72695" w:rsidRPr="00D72695" w:rsidRDefault="00D72695" w:rsidP="00D72695">
            <w:pPr>
              <w:keepLines/>
              <w:jc w:val="center"/>
            </w:pPr>
            <w:r w:rsidRPr="00D72695">
              <w:t>47%</w:t>
            </w:r>
          </w:p>
        </w:tc>
      </w:tr>
      <w:tr w:rsidR="00D72695" w:rsidRPr="00B31A73" w14:paraId="1BE3EF7A" w14:textId="77777777" w:rsidTr="00222567">
        <w:trPr>
          <w:trHeight w:val="260"/>
        </w:trPr>
        <w:tc>
          <w:tcPr>
            <w:tcW w:w="1740" w:type="dxa"/>
            <w:tcBorders>
              <w:top w:val="nil"/>
              <w:left w:val="nil"/>
              <w:bottom w:val="nil"/>
              <w:right w:val="nil"/>
            </w:tcBorders>
            <w:shd w:val="clear" w:color="auto" w:fill="auto"/>
            <w:noWrap/>
            <w:vAlign w:val="bottom"/>
            <w:hideMark/>
          </w:tcPr>
          <w:p w14:paraId="6DD18F00" w14:textId="77777777" w:rsidR="00D72695" w:rsidRPr="00B31A73" w:rsidRDefault="00D72695" w:rsidP="00D72695">
            <w:pPr>
              <w:keepLines/>
              <w:jc w:val="center"/>
            </w:pPr>
            <w:r w:rsidRPr="00B31A73">
              <w:t>5</w:t>
            </w:r>
          </w:p>
        </w:tc>
        <w:tc>
          <w:tcPr>
            <w:tcW w:w="2360" w:type="dxa"/>
            <w:tcBorders>
              <w:top w:val="nil"/>
              <w:left w:val="nil"/>
              <w:bottom w:val="nil"/>
              <w:right w:val="nil"/>
            </w:tcBorders>
            <w:shd w:val="clear" w:color="auto" w:fill="auto"/>
            <w:noWrap/>
            <w:vAlign w:val="bottom"/>
            <w:hideMark/>
          </w:tcPr>
          <w:p w14:paraId="1B67EE8F" w14:textId="4E7DF62A" w:rsidR="00D72695" w:rsidRPr="00D72695" w:rsidRDefault="00D72695" w:rsidP="00D72695">
            <w:pPr>
              <w:keepLines/>
              <w:jc w:val="center"/>
            </w:pPr>
            <w:r w:rsidRPr="00D72695">
              <w:t>-69%</w:t>
            </w:r>
          </w:p>
        </w:tc>
        <w:tc>
          <w:tcPr>
            <w:tcW w:w="2360" w:type="dxa"/>
            <w:tcBorders>
              <w:top w:val="nil"/>
              <w:left w:val="nil"/>
              <w:bottom w:val="nil"/>
              <w:right w:val="nil"/>
            </w:tcBorders>
            <w:shd w:val="clear" w:color="auto" w:fill="auto"/>
            <w:noWrap/>
            <w:vAlign w:val="bottom"/>
            <w:hideMark/>
          </w:tcPr>
          <w:p w14:paraId="7D37ABA7" w14:textId="720447E1" w:rsidR="00D72695" w:rsidRPr="00D72695" w:rsidRDefault="00D72695" w:rsidP="00D72695">
            <w:pPr>
              <w:keepLines/>
              <w:jc w:val="center"/>
            </w:pPr>
            <w:r w:rsidRPr="00D72695">
              <w:t>-59%</w:t>
            </w:r>
          </w:p>
        </w:tc>
        <w:tc>
          <w:tcPr>
            <w:tcW w:w="2220" w:type="dxa"/>
            <w:tcBorders>
              <w:top w:val="nil"/>
              <w:left w:val="nil"/>
              <w:bottom w:val="nil"/>
              <w:right w:val="nil"/>
            </w:tcBorders>
            <w:shd w:val="clear" w:color="auto" w:fill="auto"/>
            <w:noWrap/>
            <w:vAlign w:val="bottom"/>
            <w:hideMark/>
          </w:tcPr>
          <w:p w14:paraId="5BC11F5A" w14:textId="11A702E4" w:rsidR="00D72695" w:rsidRPr="00D72695" w:rsidRDefault="00D72695" w:rsidP="00D72695">
            <w:pPr>
              <w:keepLines/>
              <w:jc w:val="center"/>
            </w:pPr>
            <w:r w:rsidRPr="00D72695">
              <w:t>65%</w:t>
            </w:r>
          </w:p>
        </w:tc>
        <w:tc>
          <w:tcPr>
            <w:tcW w:w="2220" w:type="dxa"/>
            <w:tcBorders>
              <w:top w:val="nil"/>
              <w:left w:val="nil"/>
              <w:bottom w:val="nil"/>
              <w:right w:val="nil"/>
            </w:tcBorders>
            <w:shd w:val="clear" w:color="auto" w:fill="auto"/>
            <w:noWrap/>
            <w:vAlign w:val="bottom"/>
            <w:hideMark/>
          </w:tcPr>
          <w:p w14:paraId="1ADC98F0" w14:textId="15186C3F" w:rsidR="00D72695" w:rsidRPr="00D72695" w:rsidRDefault="00D72695" w:rsidP="00D72695">
            <w:pPr>
              <w:keepLines/>
              <w:jc w:val="center"/>
            </w:pPr>
            <w:r w:rsidRPr="00D72695">
              <w:t>59%</w:t>
            </w:r>
          </w:p>
        </w:tc>
      </w:tr>
      <w:tr w:rsidR="00D72695" w:rsidRPr="00B31A73" w14:paraId="7E6CA541" w14:textId="77777777" w:rsidTr="00222567">
        <w:trPr>
          <w:trHeight w:val="260"/>
        </w:trPr>
        <w:tc>
          <w:tcPr>
            <w:tcW w:w="1740" w:type="dxa"/>
            <w:tcBorders>
              <w:top w:val="nil"/>
              <w:left w:val="nil"/>
              <w:bottom w:val="nil"/>
              <w:right w:val="nil"/>
            </w:tcBorders>
            <w:shd w:val="clear" w:color="auto" w:fill="auto"/>
            <w:noWrap/>
            <w:vAlign w:val="bottom"/>
            <w:hideMark/>
          </w:tcPr>
          <w:p w14:paraId="1266EF51" w14:textId="77777777" w:rsidR="00D72695" w:rsidRPr="00B31A73" w:rsidRDefault="00D72695" w:rsidP="00D72695">
            <w:pPr>
              <w:keepLines/>
              <w:jc w:val="center"/>
            </w:pPr>
            <w:r w:rsidRPr="00B31A73">
              <w:t>8</w:t>
            </w:r>
          </w:p>
        </w:tc>
        <w:tc>
          <w:tcPr>
            <w:tcW w:w="2360" w:type="dxa"/>
            <w:tcBorders>
              <w:top w:val="nil"/>
              <w:left w:val="nil"/>
              <w:bottom w:val="nil"/>
              <w:right w:val="nil"/>
            </w:tcBorders>
            <w:shd w:val="clear" w:color="auto" w:fill="auto"/>
            <w:noWrap/>
            <w:vAlign w:val="bottom"/>
            <w:hideMark/>
          </w:tcPr>
          <w:p w14:paraId="11F7C1A8" w14:textId="682CF888" w:rsidR="00D72695" w:rsidRPr="00D72695" w:rsidRDefault="00D72695" w:rsidP="00D72695">
            <w:pPr>
              <w:keepLines/>
              <w:jc w:val="center"/>
            </w:pPr>
            <w:r w:rsidRPr="00D72695">
              <w:t>-76%</w:t>
            </w:r>
          </w:p>
        </w:tc>
        <w:tc>
          <w:tcPr>
            <w:tcW w:w="2360" w:type="dxa"/>
            <w:tcBorders>
              <w:top w:val="nil"/>
              <w:left w:val="nil"/>
              <w:bottom w:val="nil"/>
              <w:right w:val="nil"/>
            </w:tcBorders>
            <w:shd w:val="clear" w:color="auto" w:fill="auto"/>
            <w:noWrap/>
            <w:vAlign w:val="bottom"/>
            <w:hideMark/>
          </w:tcPr>
          <w:p w14:paraId="68CD0B97" w14:textId="6EA16368" w:rsidR="00D72695" w:rsidRPr="00D72695" w:rsidRDefault="00D72695" w:rsidP="00D72695">
            <w:pPr>
              <w:keepLines/>
              <w:jc w:val="center"/>
            </w:pPr>
            <w:r w:rsidRPr="00D72695">
              <w:t>-73%</w:t>
            </w:r>
          </w:p>
        </w:tc>
        <w:tc>
          <w:tcPr>
            <w:tcW w:w="2220" w:type="dxa"/>
            <w:tcBorders>
              <w:top w:val="nil"/>
              <w:left w:val="nil"/>
              <w:bottom w:val="nil"/>
              <w:right w:val="nil"/>
            </w:tcBorders>
            <w:shd w:val="clear" w:color="auto" w:fill="auto"/>
            <w:noWrap/>
            <w:vAlign w:val="bottom"/>
            <w:hideMark/>
          </w:tcPr>
          <w:p w14:paraId="1D429D96" w14:textId="0E787FA6" w:rsidR="00D72695" w:rsidRPr="00D72695" w:rsidRDefault="00D72695" w:rsidP="00D72695">
            <w:pPr>
              <w:keepLines/>
              <w:jc w:val="center"/>
            </w:pPr>
            <w:r w:rsidRPr="00D72695">
              <w:t>76%</w:t>
            </w:r>
          </w:p>
        </w:tc>
        <w:tc>
          <w:tcPr>
            <w:tcW w:w="2220" w:type="dxa"/>
            <w:tcBorders>
              <w:top w:val="nil"/>
              <w:left w:val="nil"/>
              <w:bottom w:val="nil"/>
              <w:right w:val="nil"/>
            </w:tcBorders>
            <w:shd w:val="clear" w:color="auto" w:fill="auto"/>
            <w:noWrap/>
            <w:vAlign w:val="bottom"/>
            <w:hideMark/>
          </w:tcPr>
          <w:p w14:paraId="1FA45564" w14:textId="222F63BB" w:rsidR="00D72695" w:rsidRPr="00D72695" w:rsidRDefault="00D72695" w:rsidP="00D72695">
            <w:pPr>
              <w:keepLines/>
              <w:jc w:val="center"/>
            </w:pPr>
            <w:r w:rsidRPr="00D72695">
              <w:t>73%</w:t>
            </w:r>
          </w:p>
        </w:tc>
      </w:tr>
      <w:tr w:rsidR="00D72695" w:rsidRPr="00B31A73" w14:paraId="64DC4DE6" w14:textId="77777777" w:rsidTr="00222567">
        <w:trPr>
          <w:trHeight w:val="260"/>
        </w:trPr>
        <w:tc>
          <w:tcPr>
            <w:tcW w:w="1740" w:type="dxa"/>
            <w:tcBorders>
              <w:top w:val="nil"/>
              <w:left w:val="nil"/>
              <w:bottom w:val="nil"/>
              <w:right w:val="nil"/>
            </w:tcBorders>
            <w:shd w:val="clear" w:color="auto" w:fill="auto"/>
            <w:noWrap/>
            <w:vAlign w:val="bottom"/>
            <w:hideMark/>
          </w:tcPr>
          <w:p w14:paraId="290CBD34" w14:textId="77777777" w:rsidR="00D72695" w:rsidRPr="00B31A73" w:rsidRDefault="00D72695" w:rsidP="00D72695">
            <w:pPr>
              <w:keepLines/>
              <w:jc w:val="center"/>
            </w:pPr>
            <w:r w:rsidRPr="00B31A73">
              <w:t>10</w:t>
            </w:r>
          </w:p>
        </w:tc>
        <w:tc>
          <w:tcPr>
            <w:tcW w:w="2360" w:type="dxa"/>
            <w:tcBorders>
              <w:top w:val="nil"/>
              <w:left w:val="nil"/>
              <w:bottom w:val="nil"/>
              <w:right w:val="nil"/>
            </w:tcBorders>
            <w:shd w:val="clear" w:color="auto" w:fill="auto"/>
            <w:noWrap/>
            <w:vAlign w:val="bottom"/>
            <w:hideMark/>
          </w:tcPr>
          <w:p w14:paraId="68C340D7" w14:textId="380AB6E4" w:rsidR="00D72695" w:rsidRPr="00D72695" w:rsidRDefault="00D72695" w:rsidP="00D72695">
            <w:pPr>
              <w:keepLines/>
              <w:jc w:val="center"/>
            </w:pPr>
            <w:r w:rsidRPr="00D72695">
              <w:t>-81%</w:t>
            </w:r>
          </w:p>
        </w:tc>
        <w:tc>
          <w:tcPr>
            <w:tcW w:w="2360" w:type="dxa"/>
            <w:tcBorders>
              <w:top w:val="nil"/>
              <w:left w:val="nil"/>
              <w:bottom w:val="nil"/>
              <w:right w:val="nil"/>
            </w:tcBorders>
            <w:shd w:val="clear" w:color="auto" w:fill="auto"/>
            <w:noWrap/>
            <w:vAlign w:val="bottom"/>
            <w:hideMark/>
          </w:tcPr>
          <w:p w14:paraId="259B66DA" w14:textId="269D02AF" w:rsidR="00D72695" w:rsidRPr="00D72695" w:rsidRDefault="00D72695" w:rsidP="00D72695">
            <w:pPr>
              <w:keepLines/>
              <w:jc w:val="center"/>
            </w:pPr>
            <w:r w:rsidRPr="00D72695">
              <w:t>-82%</w:t>
            </w:r>
          </w:p>
        </w:tc>
        <w:tc>
          <w:tcPr>
            <w:tcW w:w="2220" w:type="dxa"/>
            <w:tcBorders>
              <w:top w:val="nil"/>
              <w:left w:val="nil"/>
              <w:bottom w:val="nil"/>
              <w:right w:val="nil"/>
            </w:tcBorders>
            <w:shd w:val="clear" w:color="auto" w:fill="auto"/>
            <w:noWrap/>
            <w:vAlign w:val="bottom"/>
            <w:hideMark/>
          </w:tcPr>
          <w:p w14:paraId="55C57E81" w14:textId="7EE40D0C" w:rsidR="00D72695" w:rsidRPr="00D72695" w:rsidRDefault="00D72695" w:rsidP="00D72695">
            <w:pPr>
              <w:keepLines/>
              <w:jc w:val="center"/>
            </w:pPr>
            <w:r w:rsidRPr="00D72695">
              <w:t>83%</w:t>
            </w:r>
          </w:p>
        </w:tc>
        <w:tc>
          <w:tcPr>
            <w:tcW w:w="2220" w:type="dxa"/>
            <w:tcBorders>
              <w:top w:val="nil"/>
              <w:left w:val="nil"/>
              <w:bottom w:val="nil"/>
              <w:right w:val="nil"/>
            </w:tcBorders>
            <w:shd w:val="clear" w:color="auto" w:fill="auto"/>
            <w:noWrap/>
            <w:vAlign w:val="bottom"/>
            <w:hideMark/>
          </w:tcPr>
          <w:p w14:paraId="1492F561" w14:textId="52C53ED1" w:rsidR="00D72695" w:rsidRPr="00D72695" w:rsidRDefault="00D72695" w:rsidP="00D72695">
            <w:pPr>
              <w:keepLines/>
              <w:jc w:val="center"/>
            </w:pPr>
            <w:r w:rsidRPr="00D72695">
              <w:t>82%</w:t>
            </w:r>
          </w:p>
        </w:tc>
      </w:tr>
      <w:tr w:rsidR="00D72695" w:rsidRPr="00B31A73" w14:paraId="385B30AF" w14:textId="77777777" w:rsidTr="00222567">
        <w:trPr>
          <w:trHeight w:val="260"/>
        </w:trPr>
        <w:tc>
          <w:tcPr>
            <w:tcW w:w="1740" w:type="dxa"/>
            <w:tcBorders>
              <w:top w:val="nil"/>
              <w:left w:val="nil"/>
              <w:bottom w:val="nil"/>
              <w:right w:val="nil"/>
            </w:tcBorders>
            <w:shd w:val="clear" w:color="auto" w:fill="auto"/>
            <w:vAlign w:val="bottom"/>
            <w:hideMark/>
          </w:tcPr>
          <w:p w14:paraId="72A54B37" w14:textId="77777777" w:rsidR="00D72695" w:rsidRPr="00B31A73" w:rsidRDefault="00D72695" w:rsidP="00D72695">
            <w:pPr>
              <w:keepLines/>
              <w:jc w:val="center"/>
            </w:pPr>
            <w:r w:rsidRPr="00B31A73">
              <w:t>12</w:t>
            </w:r>
          </w:p>
        </w:tc>
        <w:tc>
          <w:tcPr>
            <w:tcW w:w="2360" w:type="dxa"/>
            <w:tcBorders>
              <w:top w:val="nil"/>
              <w:left w:val="nil"/>
              <w:bottom w:val="nil"/>
              <w:right w:val="nil"/>
            </w:tcBorders>
            <w:shd w:val="clear" w:color="auto" w:fill="auto"/>
            <w:vAlign w:val="bottom"/>
            <w:hideMark/>
          </w:tcPr>
          <w:p w14:paraId="4A4374F1" w14:textId="69C4F523" w:rsidR="00D72695" w:rsidRPr="00D72695" w:rsidRDefault="00D72695" w:rsidP="00D72695">
            <w:pPr>
              <w:keepLines/>
              <w:jc w:val="center"/>
            </w:pPr>
            <w:r w:rsidRPr="00D72695">
              <w:t>-80%</w:t>
            </w:r>
          </w:p>
        </w:tc>
        <w:tc>
          <w:tcPr>
            <w:tcW w:w="2360" w:type="dxa"/>
            <w:tcBorders>
              <w:top w:val="nil"/>
              <w:left w:val="nil"/>
              <w:bottom w:val="nil"/>
              <w:right w:val="nil"/>
            </w:tcBorders>
            <w:shd w:val="clear" w:color="auto" w:fill="auto"/>
            <w:vAlign w:val="bottom"/>
            <w:hideMark/>
          </w:tcPr>
          <w:p w14:paraId="18EA140D" w14:textId="60AA642B" w:rsidR="00D72695" w:rsidRPr="00D72695" w:rsidRDefault="00D72695" w:rsidP="00D72695">
            <w:pPr>
              <w:keepLines/>
              <w:jc w:val="center"/>
            </w:pPr>
            <w:r w:rsidRPr="00D72695">
              <w:t>-84%</w:t>
            </w:r>
          </w:p>
        </w:tc>
        <w:tc>
          <w:tcPr>
            <w:tcW w:w="2220" w:type="dxa"/>
            <w:tcBorders>
              <w:top w:val="nil"/>
              <w:left w:val="nil"/>
              <w:bottom w:val="nil"/>
              <w:right w:val="nil"/>
            </w:tcBorders>
            <w:shd w:val="clear" w:color="auto" w:fill="auto"/>
            <w:vAlign w:val="bottom"/>
            <w:hideMark/>
          </w:tcPr>
          <w:p w14:paraId="670FE9AC" w14:textId="1F601B31" w:rsidR="00D72695" w:rsidRPr="00D72695" w:rsidRDefault="00D72695" w:rsidP="00D72695">
            <w:pPr>
              <w:keepLines/>
              <w:jc w:val="center"/>
            </w:pPr>
            <w:r w:rsidRPr="00D72695">
              <w:t>85%</w:t>
            </w:r>
          </w:p>
        </w:tc>
        <w:tc>
          <w:tcPr>
            <w:tcW w:w="2220" w:type="dxa"/>
            <w:tcBorders>
              <w:top w:val="nil"/>
              <w:left w:val="nil"/>
              <w:bottom w:val="nil"/>
              <w:right w:val="nil"/>
            </w:tcBorders>
            <w:shd w:val="clear" w:color="auto" w:fill="auto"/>
            <w:vAlign w:val="bottom"/>
            <w:hideMark/>
          </w:tcPr>
          <w:p w14:paraId="6884591A" w14:textId="291D482B" w:rsidR="00D72695" w:rsidRPr="00D72695" w:rsidRDefault="00D72695" w:rsidP="00D72695">
            <w:pPr>
              <w:keepLines/>
              <w:jc w:val="center"/>
            </w:pPr>
            <w:r w:rsidRPr="00D72695">
              <w:t>84%</w:t>
            </w:r>
          </w:p>
        </w:tc>
      </w:tr>
      <w:tr w:rsidR="00D72695" w:rsidRPr="00B31A73" w14:paraId="1AD8CDEB" w14:textId="77777777" w:rsidTr="00222567">
        <w:trPr>
          <w:trHeight w:val="260"/>
        </w:trPr>
        <w:tc>
          <w:tcPr>
            <w:tcW w:w="1740" w:type="dxa"/>
            <w:tcBorders>
              <w:top w:val="nil"/>
              <w:left w:val="nil"/>
              <w:bottom w:val="nil"/>
              <w:right w:val="nil"/>
            </w:tcBorders>
            <w:shd w:val="clear" w:color="auto" w:fill="auto"/>
            <w:noWrap/>
            <w:vAlign w:val="bottom"/>
            <w:hideMark/>
          </w:tcPr>
          <w:p w14:paraId="1D67752E" w14:textId="77777777" w:rsidR="00D72695" w:rsidRPr="00B31A73" w:rsidRDefault="00D72695" w:rsidP="00D72695">
            <w:pPr>
              <w:keepLines/>
              <w:jc w:val="center"/>
            </w:pPr>
            <w:r w:rsidRPr="00B31A73">
              <w:t>15</w:t>
            </w:r>
          </w:p>
        </w:tc>
        <w:tc>
          <w:tcPr>
            <w:tcW w:w="2360" w:type="dxa"/>
            <w:tcBorders>
              <w:top w:val="nil"/>
              <w:left w:val="nil"/>
              <w:bottom w:val="nil"/>
              <w:right w:val="nil"/>
            </w:tcBorders>
            <w:shd w:val="clear" w:color="auto" w:fill="auto"/>
            <w:noWrap/>
            <w:vAlign w:val="bottom"/>
            <w:hideMark/>
          </w:tcPr>
          <w:p w14:paraId="250723C1" w14:textId="6C5CC80E" w:rsidR="00D72695" w:rsidRPr="00D72695" w:rsidRDefault="00D72695" w:rsidP="00D72695">
            <w:pPr>
              <w:keepLines/>
              <w:jc w:val="center"/>
            </w:pPr>
            <w:r w:rsidRPr="00D72695">
              <w:t>-78%</w:t>
            </w:r>
          </w:p>
        </w:tc>
        <w:tc>
          <w:tcPr>
            <w:tcW w:w="2360" w:type="dxa"/>
            <w:tcBorders>
              <w:top w:val="nil"/>
              <w:left w:val="nil"/>
              <w:bottom w:val="nil"/>
              <w:right w:val="nil"/>
            </w:tcBorders>
            <w:shd w:val="clear" w:color="auto" w:fill="auto"/>
            <w:noWrap/>
            <w:vAlign w:val="bottom"/>
            <w:hideMark/>
          </w:tcPr>
          <w:p w14:paraId="1DF365E0" w14:textId="76726C2A" w:rsidR="00D72695" w:rsidRPr="00D72695" w:rsidRDefault="00D72695" w:rsidP="00D72695">
            <w:pPr>
              <w:keepLines/>
              <w:jc w:val="center"/>
            </w:pPr>
            <w:r w:rsidRPr="00D72695">
              <w:t>-83%</w:t>
            </w:r>
          </w:p>
        </w:tc>
        <w:tc>
          <w:tcPr>
            <w:tcW w:w="2220" w:type="dxa"/>
            <w:tcBorders>
              <w:top w:val="nil"/>
              <w:left w:val="nil"/>
              <w:bottom w:val="nil"/>
              <w:right w:val="nil"/>
            </w:tcBorders>
            <w:shd w:val="clear" w:color="auto" w:fill="auto"/>
            <w:noWrap/>
            <w:vAlign w:val="bottom"/>
            <w:hideMark/>
          </w:tcPr>
          <w:p w14:paraId="1D981626" w14:textId="5CE0DF83" w:rsidR="00D72695" w:rsidRPr="00D72695" w:rsidRDefault="00D72695" w:rsidP="00D72695">
            <w:pPr>
              <w:keepLines/>
              <w:jc w:val="center"/>
            </w:pPr>
            <w:r w:rsidRPr="00D72695">
              <w:t>88%</w:t>
            </w:r>
          </w:p>
        </w:tc>
        <w:tc>
          <w:tcPr>
            <w:tcW w:w="2220" w:type="dxa"/>
            <w:tcBorders>
              <w:top w:val="nil"/>
              <w:left w:val="nil"/>
              <w:bottom w:val="nil"/>
              <w:right w:val="nil"/>
            </w:tcBorders>
            <w:shd w:val="clear" w:color="auto" w:fill="auto"/>
            <w:noWrap/>
            <w:vAlign w:val="bottom"/>
            <w:hideMark/>
          </w:tcPr>
          <w:p w14:paraId="6E966620" w14:textId="1A5B33C4" w:rsidR="00D72695" w:rsidRPr="00D72695" w:rsidRDefault="00D72695" w:rsidP="00D72695">
            <w:pPr>
              <w:keepLines/>
              <w:jc w:val="center"/>
            </w:pPr>
            <w:r w:rsidRPr="00D72695">
              <w:t>83%</w:t>
            </w:r>
          </w:p>
        </w:tc>
      </w:tr>
      <w:tr w:rsidR="00D72695" w:rsidRPr="00B31A73" w14:paraId="253D3564" w14:textId="77777777" w:rsidTr="00222567">
        <w:trPr>
          <w:trHeight w:val="260"/>
        </w:trPr>
        <w:tc>
          <w:tcPr>
            <w:tcW w:w="1740" w:type="dxa"/>
            <w:tcBorders>
              <w:top w:val="nil"/>
              <w:left w:val="nil"/>
              <w:bottom w:val="nil"/>
              <w:right w:val="nil"/>
            </w:tcBorders>
            <w:shd w:val="clear" w:color="auto" w:fill="auto"/>
            <w:noWrap/>
            <w:vAlign w:val="bottom"/>
            <w:hideMark/>
          </w:tcPr>
          <w:p w14:paraId="0A606041" w14:textId="77777777" w:rsidR="00D72695" w:rsidRPr="00B31A73" w:rsidRDefault="00D72695" w:rsidP="00D72695">
            <w:pPr>
              <w:keepLines/>
              <w:jc w:val="center"/>
            </w:pPr>
            <w:r w:rsidRPr="00B31A73">
              <w:t>20</w:t>
            </w:r>
          </w:p>
        </w:tc>
        <w:tc>
          <w:tcPr>
            <w:tcW w:w="2360" w:type="dxa"/>
            <w:tcBorders>
              <w:top w:val="nil"/>
              <w:left w:val="nil"/>
              <w:bottom w:val="nil"/>
              <w:right w:val="nil"/>
            </w:tcBorders>
            <w:shd w:val="clear" w:color="auto" w:fill="auto"/>
            <w:noWrap/>
            <w:vAlign w:val="bottom"/>
            <w:hideMark/>
          </w:tcPr>
          <w:p w14:paraId="2E5953B7" w14:textId="4BEA538C" w:rsidR="00D72695" w:rsidRPr="00D72695" w:rsidRDefault="00D72695" w:rsidP="00D72695">
            <w:pPr>
              <w:keepLines/>
              <w:jc w:val="center"/>
            </w:pPr>
            <w:r w:rsidRPr="00D72695">
              <w:t>-62%</w:t>
            </w:r>
          </w:p>
        </w:tc>
        <w:tc>
          <w:tcPr>
            <w:tcW w:w="2360" w:type="dxa"/>
            <w:tcBorders>
              <w:top w:val="nil"/>
              <w:left w:val="nil"/>
              <w:bottom w:val="nil"/>
              <w:right w:val="nil"/>
            </w:tcBorders>
            <w:shd w:val="clear" w:color="auto" w:fill="auto"/>
            <w:noWrap/>
            <w:vAlign w:val="bottom"/>
            <w:hideMark/>
          </w:tcPr>
          <w:p w14:paraId="33ED4C81" w14:textId="019685F0" w:rsidR="00D72695" w:rsidRPr="00D72695" w:rsidRDefault="00D72695" w:rsidP="00D72695">
            <w:pPr>
              <w:keepLines/>
              <w:jc w:val="center"/>
            </w:pPr>
            <w:r w:rsidRPr="00D72695">
              <w:t>-74%</w:t>
            </w:r>
          </w:p>
        </w:tc>
        <w:tc>
          <w:tcPr>
            <w:tcW w:w="2220" w:type="dxa"/>
            <w:tcBorders>
              <w:top w:val="nil"/>
              <w:left w:val="nil"/>
              <w:bottom w:val="nil"/>
              <w:right w:val="nil"/>
            </w:tcBorders>
            <w:shd w:val="clear" w:color="auto" w:fill="auto"/>
            <w:noWrap/>
            <w:vAlign w:val="bottom"/>
            <w:hideMark/>
          </w:tcPr>
          <w:p w14:paraId="319CAD1B" w14:textId="5038B161" w:rsidR="00D72695" w:rsidRPr="00D72695" w:rsidRDefault="00D72695" w:rsidP="00D72695">
            <w:pPr>
              <w:keepLines/>
              <w:jc w:val="center"/>
            </w:pPr>
            <w:r w:rsidRPr="00D72695">
              <w:t>75%</w:t>
            </w:r>
          </w:p>
        </w:tc>
        <w:tc>
          <w:tcPr>
            <w:tcW w:w="2220" w:type="dxa"/>
            <w:tcBorders>
              <w:top w:val="nil"/>
              <w:left w:val="nil"/>
              <w:bottom w:val="nil"/>
              <w:right w:val="nil"/>
            </w:tcBorders>
            <w:shd w:val="clear" w:color="auto" w:fill="auto"/>
            <w:noWrap/>
            <w:vAlign w:val="bottom"/>
            <w:hideMark/>
          </w:tcPr>
          <w:p w14:paraId="62A9C025" w14:textId="698FF24B" w:rsidR="00D72695" w:rsidRPr="00D72695" w:rsidRDefault="00D72695" w:rsidP="00D72695">
            <w:pPr>
              <w:keepLines/>
              <w:jc w:val="center"/>
            </w:pPr>
            <w:r w:rsidRPr="00D72695">
              <w:t>74%</w:t>
            </w:r>
          </w:p>
        </w:tc>
      </w:tr>
      <w:tr w:rsidR="00D72695" w:rsidRPr="00B31A73" w14:paraId="19EB8D7D" w14:textId="77777777" w:rsidTr="00222567">
        <w:trPr>
          <w:trHeight w:val="260"/>
        </w:trPr>
        <w:tc>
          <w:tcPr>
            <w:tcW w:w="1740" w:type="dxa"/>
            <w:tcBorders>
              <w:top w:val="nil"/>
              <w:left w:val="nil"/>
              <w:bottom w:val="nil"/>
              <w:right w:val="nil"/>
            </w:tcBorders>
            <w:shd w:val="clear" w:color="auto" w:fill="auto"/>
            <w:noWrap/>
            <w:vAlign w:val="bottom"/>
            <w:hideMark/>
          </w:tcPr>
          <w:p w14:paraId="38361106" w14:textId="77777777" w:rsidR="00D72695" w:rsidRPr="00B31A73" w:rsidRDefault="00D72695" w:rsidP="00D72695">
            <w:pPr>
              <w:keepLines/>
              <w:jc w:val="center"/>
            </w:pPr>
            <w:r w:rsidRPr="00B31A73">
              <w:t>25</w:t>
            </w:r>
          </w:p>
        </w:tc>
        <w:tc>
          <w:tcPr>
            <w:tcW w:w="2360" w:type="dxa"/>
            <w:tcBorders>
              <w:top w:val="nil"/>
              <w:left w:val="nil"/>
              <w:bottom w:val="nil"/>
              <w:right w:val="nil"/>
            </w:tcBorders>
            <w:shd w:val="clear" w:color="auto" w:fill="auto"/>
            <w:noWrap/>
            <w:vAlign w:val="bottom"/>
            <w:hideMark/>
          </w:tcPr>
          <w:p w14:paraId="0D37E8E7" w14:textId="3D87680B" w:rsidR="00D72695" w:rsidRPr="00D72695" w:rsidRDefault="00D72695" w:rsidP="00D72695">
            <w:pPr>
              <w:keepLines/>
              <w:jc w:val="center"/>
            </w:pPr>
            <w:r w:rsidRPr="00D72695">
              <w:t>-58%</w:t>
            </w:r>
          </w:p>
        </w:tc>
        <w:tc>
          <w:tcPr>
            <w:tcW w:w="2360" w:type="dxa"/>
            <w:tcBorders>
              <w:top w:val="nil"/>
              <w:left w:val="nil"/>
              <w:bottom w:val="nil"/>
              <w:right w:val="nil"/>
            </w:tcBorders>
            <w:shd w:val="clear" w:color="auto" w:fill="auto"/>
            <w:noWrap/>
            <w:vAlign w:val="bottom"/>
            <w:hideMark/>
          </w:tcPr>
          <w:p w14:paraId="34EE919A" w14:textId="72A08E3A" w:rsidR="00D72695" w:rsidRPr="00D72695" w:rsidRDefault="00D72695" w:rsidP="00D72695">
            <w:pPr>
              <w:keepLines/>
              <w:jc w:val="center"/>
            </w:pPr>
            <w:r w:rsidRPr="00D72695">
              <w:t>-54%</w:t>
            </w:r>
          </w:p>
        </w:tc>
        <w:tc>
          <w:tcPr>
            <w:tcW w:w="2220" w:type="dxa"/>
            <w:tcBorders>
              <w:top w:val="nil"/>
              <w:left w:val="nil"/>
              <w:bottom w:val="nil"/>
              <w:right w:val="nil"/>
            </w:tcBorders>
            <w:shd w:val="clear" w:color="auto" w:fill="auto"/>
            <w:noWrap/>
            <w:vAlign w:val="bottom"/>
            <w:hideMark/>
          </w:tcPr>
          <w:p w14:paraId="3F5496D0" w14:textId="21C5C0FA" w:rsidR="00D72695" w:rsidRPr="00D72695" w:rsidRDefault="00D72695" w:rsidP="00D72695">
            <w:pPr>
              <w:keepLines/>
              <w:jc w:val="center"/>
            </w:pPr>
            <w:r w:rsidRPr="00D72695">
              <w:t>43%</w:t>
            </w:r>
          </w:p>
        </w:tc>
        <w:tc>
          <w:tcPr>
            <w:tcW w:w="2220" w:type="dxa"/>
            <w:tcBorders>
              <w:top w:val="nil"/>
              <w:left w:val="nil"/>
              <w:bottom w:val="nil"/>
              <w:right w:val="nil"/>
            </w:tcBorders>
            <w:shd w:val="clear" w:color="auto" w:fill="auto"/>
            <w:noWrap/>
            <w:vAlign w:val="bottom"/>
            <w:hideMark/>
          </w:tcPr>
          <w:p w14:paraId="2B2A898C" w14:textId="33D8BD07" w:rsidR="00D72695" w:rsidRPr="00D72695" w:rsidRDefault="00D72695" w:rsidP="00D72695">
            <w:pPr>
              <w:keepLines/>
              <w:jc w:val="center"/>
            </w:pPr>
            <w:r w:rsidRPr="00D72695">
              <w:t>54%</w:t>
            </w:r>
          </w:p>
        </w:tc>
      </w:tr>
      <w:tr w:rsidR="00D72695" w:rsidRPr="00B31A73" w14:paraId="4717C1F4" w14:textId="77777777" w:rsidTr="00222567">
        <w:trPr>
          <w:trHeight w:val="260"/>
        </w:trPr>
        <w:tc>
          <w:tcPr>
            <w:tcW w:w="1740" w:type="dxa"/>
            <w:tcBorders>
              <w:top w:val="nil"/>
              <w:left w:val="nil"/>
              <w:bottom w:val="nil"/>
              <w:right w:val="nil"/>
            </w:tcBorders>
            <w:shd w:val="clear" w:color="auto" w:fill="auto"/>
            <w:noWrap/>
            <w:vAlign w:val="bottom"/>
            <w:hideMark/>
          </w:tcPr>
          <w:p w14:paraId="7C9FAEC7" w14:textId="77777777" w:rsidR="00D72695" w:rsidRPr="00B31A73" w:rsidRDefault="00D72695" w:rsidP="00D72695">
            <w:pPr>
              <w:keepLines/>
              <w:jc w:val="center"/>
            </w:pPr>
            <w:r w:rsidRPr="00B31A73">
              <w:t>30</w:t>
            </w:r>
          </w:p>
        </w:tc>
        <w:tc>
          <w:tcPr>
            <w:tcW w:w="2360" w:type="dxa"/>
            <w:tcBorders>
              <w:top w:val="nil"/>
              <w:left w:val="nil"/>
              <w:bottom w:val="nil"/>
              <w:right w:val="nil"/>
            </w:tcBorders>
            <w:shd w:val="clear" w:color="auto" w:fill="auto"/>
            <w:noWrap/>
            <w:vAlign w:val="bottom"/>
            <w:hideMark/>
          </w:tcPr>
          <w:p w14:paraId="1500F53E" w14:textId="3C0CC83F" w:rsidR="00D72695" w:rsidRPr="00D72695" w:rsidRDefault="00D72695" w:rsidP="00D72695">
            <w:pPr>
              <w:keepLines/>
              <w:jc w:val="center"/>
            </w:pPr>
            <w:r w:rsidRPr="00D72695">
              <w:t>-60%</w:t>
            </w:r>
          </w:p>
        </w:tc>
        <w:tc>
          <w:tcPr>
            <w:tcW w:w="2360" w:type="dxa"/>
            <w:tcBorders>
              <w:top w:val="nil"/>
              <w:left w:val="nil"/>
              <w:bottom w:val="nil"/>
              <w:right w:val="nil"/>
            </w:tcBorders>
            <w:shd w:val="clear" w:color="auto" w:fill="auto"/>
            <w:noWrap/>
            <w:vAlign w:val="bottom"/>
            <w:hideMark/>
          </w:tcPr>
          <w:p w14:paraId="60CD0332" w14:textId="0EEBBB60" w:rsidR="00D72695" w:rsidRPr="00D72695" w:rsidRDefault="00D72695" w:rsidP="00D72695">
            <w:pPr>
              <w:keepLines/>
              <w:jc w:val="center"/>
            </w:pPr>
            <w:r w:rsidRPr="00D72695">
              <w:t>-21%</w:t>
            </w:r>
          </w:p>
        </w:tc>
        <w:tc>
          <w:tcPr>
            <w:tcW w:w="2220" w:type="dxa"/>
            <w:tcBorders>
              <w:top w:val="nil"/>
              <w:left w:val="nil"/>
              <w:bottom w:val="nil"/>
              <w:right w:val="nil"/>
            </w:tcBorders>
            <w:shd w:val="clear" w:color="auto" w:fill="auto"/>
            <w:noWrap/>
            <w:vAlign w:val="bottom"/>
            <w:hideMark/>
          </w:tcPr>
          <w:p w14:paraId="34006D6E" w14:textId="3EE6F908" w:rsidR="00D72695" w:rsidRPr="00D72695" w:rsidRDefault="00D72695" w:rsidP="00D72695">
            <w:pPr>
              <w:keepLines/>
              <w:jc w:val="center"/>
            </w:pPr>
            <w:r w:rsidRPr="00D72695">
              <w:t>13%</w:t>
            </w:r>
          </w:p>
        </w:tc>
        <w:tc>
          <w:tcPr>
            <w:tcW w:w="2220" w:type="dxa"/>
            <w:tcBorders>
              <w:top w:val="nil"/>
              <w:left w:val="nil"/>
              <w:bottom w:val="nil"/>
              <w:right w:val="nil"/>
            </w:tcBorders>
            <w:shd w:val="clear" w:color="auto" w:fill="auto"/>
            <w:noWrap/>
            <w:vAlign w:val="bottom"/>
            <w:hideMark/>
          </w:tcPr>
          <w:p w14:paraId="0F72EDC1" w14:textId="33A5004B" w:rsidR="00D72695" w:rsidRPr="00D72695" w:rsidRDefault="00D72695" w:rsidP="00D72695">
            <w:pPr>
              <w:keepLines/>
              <w:jc w:val="center"/>
            </w:pPr>
            <w:r w:rsidRPr="00D72695">
              <w:t>21%</w:t>
            </w:r>
          </w:p>
        </w:tc>
      </w:tr>
    </w:tbl>
    <w:p w14:paraId="0817C46B" w14:textId="3C663742" w:rsidR="00370BC3" w:rsidRPr="00914DE9" w:rsidRDefault="007D4267" w:rsidP="009313C3">
      <w:pPr>
        <w:keepLines/>
      </w:pPr>
      <w:r w:rsidRPr="00B31A73">
        <w:rPr>
          <w:noProof/>
        </w:rPr>
        <mc:AlternateContent>
          <mc:Choice Requires="wps">
            <w:drawing>
              <wp:anchor distT="0" distB="0" distL="114300" distR="114300" simplePos="0" relativeHeight="251659264" behindDoc="0" locked="0" layoutInCell="1" allowOverlap="1" wp14:anchorId="3862AE1A" wp14:editId="3CBDEE17">
                <wp:simplePos x="0" y="0"/>
                <wp:positionH relativeFrom="column">
                  <wp:posOffset>0</wp:posOffset>
                </wp:positionH>
                <wp:positionV relativeFrom="paragraph">
                  <wp:posOffset>-635</wp:posOffset>
                </wp:positionV>
                <wp:extent cx="6081395" cy="824592"/>
                <wp:effectExtent l="0" t="0" r="1905" b="1270"/>
                <wp:wrapNone/>
                <wp:docPr id="9" name="Text Box 9"/>
                <wp:cNvGraphicFramePr/>
                <a:graphic xmlns:a="http://schemas.openxmlformats.org/drawingml/2006/main">
                  <a:graphicData uri="http://schemas.microsoft.com/office/word/2010/wordprocessingShape">
                    <wps:wsp>
                      <wps:cNvSpPr txBox="1"/>
                      <wps:spPr>
                        <a:xfrm>
                          <a:off x="0" y="0"/>
                          <a:ext cx="6081395" cy="824592"/>
                        </a:xfrm>
                        <a:prstGeom prst="rect">
                          <a:avLst/>
                        </a:prstGeom>
                        <a:solidFill>
                          <a:schemeClr val="lt1"/>
                        </a:solidFill>
                        <a:ln w="6350">
                          <a:noFill/>
                        </a:ln>
                      </wps:spPr>
                      <wps:txbx>
                        <w:txbxContent>
                          <w:p w14:paraId="648A81DC" w14:textId="77777777" w:rsidR="00104DD0" w:rsidRPr="000F57FF" w:rsidRDefault="00104DD0" w:rsidP="007D4267">
                            <w:pPr>
                              <w:rPr>
                                <w:sz w:val="18"/>
                                <w:szCs w:val="20"/>
                              </w:rPr>
                            </w:pPr>
                            <w:r w:rsidRPr="000F57FF">
                              <w:rPr>
                                <w:sz w:val="18"/>
                                <w:szCs w:val="20"/>
                              </w:rPr>
                              <w:t>Source: Robert Shiller Data, author’s calculations</w:t>
                            </w:r>
                          </w:p>
                          <w:p w14:paraId="30A4C6AA" w14:textId="60FF9ADE" w:rsidR="00104DD0" w:rsidRPr="000F57FF" w:rsidRDefault="00104DD0" w:rsidP="007D4267">
                            <w:pPr>
                              <w:rPr>
                                <w:sz w:val="18"/>
                                <w:szCs w:val="20"/>
                              </w:rPr>
                            </w:pPr>
                            <w:r w:rsidRPr="000F57FF">
                              <w:rPr>
                                <w:sz w:val="18"/>
                                <w:szCs w:val="20"/>
                              </w:rPr>
                              <w:t>Notes: column 4 is an additive inverse of column 2, repeated for convenience of comparison with column 3; the data used for each period ends in 2018, but the final forecast period for each calculation starts in the year equal to 2018 minus (the length of the forecast period-1); returns for 2018 are assumed to</w:t>
                            </w:r>
                            <w:r>
                              <w:rPr>
                                <w:sz w:val="18"/>
                                <w:szCs w:val="20"/>
                              </w:rPr>
                              <w:t xml:space="preserve"> be</w:t>
                            </w:r>
                            <w:r w:rsidRPr="000F57FF">
                              <w:rPr>
                                <w:sz w:val="18"/>
                                <w:szCs w:val="20"/>
                              </w:rPr>
                              <w:t xml:space="preserve"> </w:t>
                            </w:r>
                            <w:r w:rsidR="00D45F66">
                              <w:rPr>
                                <w:sz w:val="18"/>
                                <w:szCs w:val="20"/>
                              </w:rPr>
                              <w:t>6</w:t>
                            </w:r>
                            <w:r w:rsidRPr="000F57FF">
                              <w:rPr>
                                <w:sz w:val="18"/>
                                <w:szCs w:val="20"/>
                              </w:rPr>
                              <w:t xml:space="preserve">%, the approximate level of return on the S&amp;P 500 through </w:t>
                            </w:r>
                            <w:r w:rsidR="00D45F66">
                              <w:rPr>
                                <w:sz w:val="18"/>
                                <w:szCs w:val="20"/>
                              </w:rPr>
                              <w:t>October, 2018</w:t>
                            </w:r>
                            <w:r w:rsidRPr="000F57FF">
                              <w:rPr>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2AE1A" id="Text Box 9" o:spid="_x0000_s1027" type="#_x0000_t202" style="position:absolute;margin-left:0;margin-top:-.05pt;width:478.85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" fillcolor="white [3201]" stroked="f" strokeweight=".5pt">
                <v:textbox>
                  <w:txbxContent>
                    <w:p w14:paraId="648A81DC" w14:textId="77777777" w:rsidR="00104DD0" w:rsidRPr="000F57FF" w:rsidRDefault="00104DD0" w:rsidP="007D4267">
                      <w:pPr>
                        <w:rPr>
                          <w:sz w:val="18"/>
                          <w:szCs w:val="20"/>
                        </w:rPr>
                      </w:pPr>
                      <w:r w:rsidRPr="000F57FF">
                        <w:rPr>
                          <w:sz w:val="18"/>
                          <w:szCs w:val="20"/>
                        </w:rPr>
                        <w:t>Source: Robert Shiller Data, author’s calculations</w:t>
                      </w:r>
                    </w:p>
                    <w:p w14:paraId="30A4C6AA" w14:textId="60FF9ADE" w:rsidR="00104DD0" w:rsidRPr="000F57FF" w:rsidRDefault="00104DD0" w:rsidP="007D4267">
                      <w:pPr>
                        <w:rPr>
                          <w:sz w:val="18"/>
                          <w:szCs w:val="20"/>
                        </w:rPr>
                      </w:pPr>
                      <w:r w:rsidRPr="000F57FF">
                        <w:rPr>
                          <w:sz w:val="18"/>
                          <w:szCs w:val="20"/>
                        </w:rPr>
                        <w:t>Notes: column 4 is an additive inverse of column 2, repeated for convenience of comparison with column 3; the data used for each period ends in 2018, but the final forecast period for each calculation starts in the year equal to 2018 minus (the length of the forecast period-1); returns for 2018 are assumed to</w:t>
                      </w:r>
                      <w:r>
                        <w:rPr>
                          <w:sz w:val="18"/>
                          <w:szCs w:val="20"/>
                        </w:rPr>
                        <w:t xml:space="preserve"> be</w:t>
                      </w:r>
                      <w:r w:rsidRPr="000F57FF">
                        <w:rPr>
                          <w:sz w:val="18"/>
                          <w:szCs w:val="20"/>
                        </w:rPr>
                        <w:t xml:space="preserve"> </w:t>
                      </w:r>
                      <w:r w:rsidR="00D45F66">
                        <w:rPr>
                          <w:sz w:val="18"/>
                          <w:szCs w:val="20"/>
                        </w:rPr>
                        <w:t>6</w:t>
                      </w:r>
                      <w:r w:rsidRPr="000F57FF">
                        <w:rPr>
                          <w:sz w:val="18"/>
                          <w:szCs w:val="20"/>
                        </w:rPr>
                        <w:t xml:space="preserve">%, the approximate level of return on the S&amp;P 500 through </w:t>
                      </w:r>
                      <w:r w:rsidR="00D45F66">
                        <w:rPr>
                          <w:sz w:val="18"/>
                          <w:szCs w:val="20"/>
                        </w:rPr>
                        <w:t>October, 2018</w:t>
                      </w:r>
                      <w:r w:rsidRPr="000F57FF">
                        <w:rPr>
                          <w:sz w:val="18"/>
                          <w:szCs w:val="20"/>
                        </w:rPr>
                        <w:t>.</w:t>
                      </w:r>
                    </w:p>
                  </w:txbxContent>
                </v:textbox>
              </v:shape>
            </w:pict>
          </mc:Fallback>
        </mc:AlternateContent>
      </w:r>
    </w:p>
    <w:p w14:paraId="50D9F7A3" w14:textId="5C2CACFE" w:rsidR="00667475" w:rsidRPr="00914DE9" w:rsidRDefault="00667475" w:rsidP="009313C3">
      <w:pPr>
        <w:keepLines/>
      </w:pPr>
      <w:r w:rsidRPr="00914DE9">
        <w:br w:type="page"/>
      </w:r>
    </w:p>
    <w:p w14:paraId="36632F41" w14:textId="442CA21C" w:rsidR="007D4267" w:rsidRDefault="007D4267" w:rsidP="00CA6307">
      <w:pPr>
        <w:rPr>
          <w:b/>
        </w:rPr>
      </w:pPr>
    </w:p>
    <w:p w14:paraId="7CF2A7CD" w14:textId="0A6AEB89" w:rsidR="007D4267" w:rsidRPr="007D4267" w:rsidRDefault="007D4267" w:rsidP="00CA6307">
      <w:pPr>
        <w:rPr>
          <w:b/>
        </w:rPr>
      </w:pPr>
      <w:r w:rsidRPr="007D4267">
        <w:rPr>
          <w:b/>
        </w:rPr>
        <w:t>Table 3</w:t>
      </w:r>
    </w:p>
    <w:tbl>
      <w:tblPr>
        <w:tblStyle w:val="GridTable4-Accent3"/>
        <w:tblW w:w="10345" w:type="dxa"/>
        <w:tblLook w:val="04A0" w:firstRow="1" w:lastRow="0" w:firstColumn="1" w:lastColumn="0" w:noHBand="0" w:noVBand="1"/>
      </w:tblPr>
      <w:tblGrid>
        <w:gridCol w:w="1570"/>
        <w:gridCol w:w="1653"/>
        <w:gridCol w:w="1632"/>
        <w:gridCol w:w="2880"/>
        <w:gridCol w:w="2610"/>
      </w:tblGrid>
      <w:tr w:rsidR="007D4267" w:rsidRPr="00B31A73" w14:paraId="49238E87" w14:textId="77777777" w:rsidTr="00B872AC">
        <w:trPr>
          <w:cnfStyle w:val="100000000000" w:firstRow="1" w:lastRow="0" w:firstColumn="0" w:lastColumn="0" w:oddVBand="0" w:evenVBand="0" w:oddHBand="0"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1570" w:type="dxa"/>
          </w:tcPr>
          <w:p w14:paraId="523DA200" w14:textId="56A68EDE" w:rsidR="007D4267" w:rsidRPr="00B31A73" w:rsidRDefault="007D4267" w:rsidP="00222567">
            <w:pPr>
              <w:jc w:val="center"/>
            </w:pPr>
            <w:r w:rsidRPr="00B31A73">
              <w:t xml:space="preserve">Subsequent excess equity </w:t>
            </w:r>
            <w:proofErr w:type="gramStart"/>
            <w:r w:rsidRPr="00B31A73">
              <w:t>return</w:t>
            </w:r>
            <w:proofErr w:type="gramEnd"/>
            <w:r w:rsidRPr="00B31A73">
              <w:t xml:space="preserve"> for years 1-10 with ERS</w:t>
            </w:r>
          </w:p>
        </w:tc>
        <w:tc>
          <w:tcPr>
            <w:tcW w:w="1653" w:type="dxa"/>
          </w:tcPr>
          <w:p w14:paraId="217CBFAE" w14:textId="77777777" w:rsidR="007D4267" w:rsidRPr="00B31A73" w:rsidRDefault="007D4267" w:rsidP="00222567">
            <w:pPr>
              <w:jc w:val="center"/>
              <w:cnfStyle w:val="100000000000" w:firstRow="1" w:lastRow="0" w:firstColumn="0" w:lastColumn="0" w:oddVBand="0" w:evenVBand="0" w:oddHBand="0" w:evenHBand="0" w:firstRowFirstColumn="0" w:firstRowLastColumn="0" w:lastRowFirstColumn="0" w:lastRowLastColumn="0"/>
            </w:pPr>
            <w:r w:rsidRPr="00B31A73">
              <w:t xml:space="preserve">Subsequent excess equity </w:t>
            </w:r>
            <w:proofErr w:type="gramStart"/>
            <w:r w:rsidRPr="00B31A73">
              <w:t>return</w:t>
            </w:r>
            <w:proofErr w:type="gramEnd"/>
            <w:r w:rsidRPr="00B31A73">
              <w:t xml:space="preserve"> for years 11-20 with ERS</w:t>
            </w:r>
          </w:p>
        </w:tc>
        <w:tc>
          <w:tcPr>
            <w:tcW w:w="1632" w:type="dxa"/>
          </w:tcPr>
          <w:p w14:paraId="49D23C58" w14:textId="77777777" w:rsidR="007D4267" w:rsidRPr="00B31A73" w:rsidRDefault="007D4267" w:rsidP="00222567">
            <w:pPr>
              <w:jc w:val="center"/>
              <w:cnfStyle w:val="100000000000" w:firstRow="1" w:lastRow="0" w:firstColumn="0" w:lastColumn="0" w:oddVBand="0" w:evenVBand="0" w:oddHBand="0" w:evenHBand="0" w:firstRowFirstColumn="0" w:firstRowLastColumn="0" w:lastRowFirstColumn="0" w:lastRowLastColumn="0"/>
            </w:pPr>
            <w:r w:rsidRPr="00B31A73">
              <w:t xml:space="preserve">Subsequent excess equity </w:t>
            </w:r>
            <w:proofErr w:type="gramStart"/>
            <w:r w:rsidRPr="00B31A73">
              <w:t>return</w:t>
            </w:r>
            <w:proofErr w:type="gramEnd"/>
            <w:r w:rsidRPr="00B31A73">
              <w:t xml:space="preserve"> for years 21-30 with ERS</w:t>
            </w:r>
          </w:p>
        </w:tc>
        <w:tc>
          <w:tcPr>
            <w:tcW w:w="2880" w:type="dxa"/>
          </w:tcPr>
          <w:p w14:paraId="2161D669" w14:textId="6D73B491" w:rsidR="007D4267" w:rsidRPr="00B31A73" w:rsidRDefault="00B872AC" w:rsidP="00222567">
            <w:pPr>
              <w:jc w:val="center"/>
              <w:cnfStyle w:val="100000000000" w:firstRow="1" w:lastRow="0" w:firstColumn="0" w:lastColumn="0" w:oddVBand="0" w:evenVBand="0" w:oddHBand="0" w:evenHBand="0" w:firstRowFirstColumn="0" w:firstRowLastColumn="0" w:lastRowFirstColumn="0" w:lastRowLastColumn="0"/>
            </w:pPr>
            <w:r>
              <w:t>Excess</w:t>
            </w:r>
            <w:r w:rsidR="007D4267" w:rsidRPr="00B31A73">
              <w:t xml:space="preserve"> equity </w:t>
            </w:r>
            <w:proofErr w:type="gramStart"/>
            <w:r w:rsidR="007D4267" w:rsidRPr="00B31A73">
              <w:t>return</w:t>
            </w:r>
            <w:proofErr w:type="gramEnd"/>
            <w:r w:rsidR="007D4267" w:rsidRPr="00B31A73">
              <w:t xml:space="preserve"> for years 11-20 with predicted excess return minus actual excess return for years 1-10</w:t>
            </w:r>
          </w:p>
        </w:tc>
        <w:tc>
          <w:tcPr>
            <w:tcW w:w="2610" w:type="dxa"/>
          </w:tcPr>
          <w:p w14:paraId="416B36D6" w14:textId="14C53EE2" w:rsidR="007D4267" w:rsidRPr="00B31A73" w:rsidRDefault="00B872AC" w:rsidP="00222567">
            <w:pPr>
              <w:jc w:val="center"/>
              <w:cnfStyle w:val="100000000000" w:firstRow="1" w:lastRow="0" w:firstColumn="0" w:lastColumn="0" w:oddVBand="0" w:evenVBand="0" w:oddHBand="0" w:evenHBand="0" w:firstRowFirstColumn="0" w:firstRowLastColumn="0" w:lastRowFirstColumn="0" w:lastRowLastColumn="0"/>
            </w:pPr>
            <w:r>
              <w:t>E</w:t>
            </w:r>
            <w:r w:rsidR="007D4267" w:rsidRPr="00B31A73">
              <w:t xml:space="preserve">xcess equity </w:t>
            </w:r>
            <w:proofErr w:type="gramStart"/>
            <w:r w:rsidR="007D4267" w:rsidRPr="00B31A73">
              <w:t>return</w:t>
            </w:r>
            <w:proofErr w:type="gramEnd"/>
            <w:r w:rsidR="007D4267" w:rsidRPr="00B31A73">
              <w:t xml:space="preserve"> for years 21-30 with predicted excess return minus actual excess return for years 1-20</w:t>
            </w:r>
          </w:p>
        </w:tc>
      </w:tr>
      <w:tr w:rsidR="007D4267" w:rsidRPr="00B31A73" w14:paraId="1369CC16" w14:textId="77777777" w:rsidTr="00B872A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570" w:type="dxa"/>
          </w:tcPr>
          <w:p w14:paraId="741FA243" w14:textId="2399AF6B" w:rsidR="007D4267" w:rsidRPr="00B31A73" w:rsidRDefault="007D4267" w:rsidP="00222567">
            <w:pPr>
              <w:jc w:val="center"/>
              <w:rPr>
                <w:b w:val="0"/>
              </w:rPr>
            </w:pPr>
            <w:r w:rsidRPr="00B31A73">
              <w:rPr>
                <w:b w:val="0"/>
              </w:rPr>
              <w:t>-6</w:t>
            </w:r>
            <w:r w:rsidR="00880794">
              <w:rPr>
                <w:b w:val="0"/>
              </w:rPr>
              <w:t>6</w:t>
            </w:r>
            <w:r w:rsidRPr="00B31A73">
              <w:rPr>
                <w:b w:val="0"/>
              </w:rPr>
              <w:t>%</w:t>
            </w:r>
          </w:p>
        </w:tc>
        <w:tc>
          <w:tcPr>
            <w:tcW w:w="1653" w:type="dxa"/>
          </w:tcPr>
          <w:p w14:paraId="7CA0E0A4" w14:textId="77777777" w:rsidR="007D4267" w:rsidRPr="00B31A73" w:rsidRDefault="007D4267" w:rsidP="00222567">
            <w:pPr>
              <w:jc w:val="center"/>
              <w:cnfStyle w:val="000000100000" w:firstRow="0" w:lastRow="0" w:firstColumn="0" w:lastColumn="0" w:oddVBand="0" w:evenVBand="0" w:oddHBand="1" w:evenHBand="0" w:firstRowFirstColumn="0" w:firstRowLastColumn="0" w:lastRowFirstColumn="0" w:lastRowLastColumn="0"/>
            </w:pPr>
            <w:r w:rsidRPr="00B31A73">
              <w:t>-45%</w:t>
            </w:r>
          </w:p>
        </w:tc>
        <w:tc>
          <w:tcPr>
            <w:tcW w:w="1632" w:type="dxa"/>
          </w:tcPr>
          <w:p w14:paraId="42D700F8" w14:textId="77777777" w:rsidR="007D4267" w:rsidRPr="00B31A73" w:rsidRDefault="007D4267" w:rsidP="00222567">
            <w:pPr>
              <w:jc w:val="center"/>
              <w:cnfStyle w:val="000000100000" w:firstRow="0" w:lastRow="0" w:firstColumn="0" w:lastColumn="0" w:oddVBand="0" w:evenVBand="0" w:oddHBand="1" w:evenHBand="0" w:firstRowFirstColumn="0" w:firstRowLastColumn="0" w:lastRowFirstColumn="0" w:lastRowLastColumn="0"/>
            </w:pPr>
            <w:r w:rsidRPr="00B31A73">
              <w:t>-6%</w:t>
            </w:r>
          </w:p>
        </w:tc>
        <w:tc>
          <w:tcPr>
            <w:tcW w:w="2880" w:type="dxa"/>
          </w:tcPr>
          <w:p w14:paraId="4D4CFAA4" w14:textId="45AAB186" w:rsidR="007D4267" w:rsidRPr="00B31A73" w:rsidRDefault="007D4267" w:rsidP="00222567">
            <w:pPr>
              <w:jc w:val="center"/>
              <w:cnfStyle w:val="000000100000" w:firstRow="0" w:lastRow="0" w:firstColumn="0" w:lastColumn="0" w:oddVBand="0" w:evenVBand="0" w:oddHBand="1" w:evenHBand="0" w:firstRowFirstColumn="0" w:firstRowLastColumn="0" w:lastRowFirstColumn="0" w:lastRowLastColumn="0"/>
            </w:pPr>
            <w:r w:rsidRPr="00B31A73">
              <w:t>-</w:t>
            </w:r>
            <w:r w:rsidR="00FA13BD">
              <w:t>48</w:t>
            </w:r>
            <w:r w:rsidRPr="00B31A73">
              <w:t>%</w:t>
            </w:r>
          </w:p>
        </w:tc>
        <w:tc>
          <w:tcPr>
            <w:tcW w:w="2610" w:type="dxa"/>
          </w:tcPr>
          <w:p w14:paraId="1D384989" w14:textId="3F7F31A1" w:rsidR="007D4267" w:rsidRPr="00B31A73" w:rsidRDefault="007D4267" w:rsidP="00222567">
            <w:pPr>
              <w:jc w:val="center"/>
              <w:cnfStyle w:val="000000100000" w:firstRow="0" w:lastRow="0" w:firstColumn="0" w:lastColumn="0" w:oddVBand="0" w:evenVBand="0" w:oddHBand="1" w:evenHBand="0" w:firstRowFirstColumn="0" w:firstRowLastColumn="0" w:lastRowFirstColumn="0" w:lastRowLastColumn="0"/>
            </w:pPr>
            <w:r w:rsidRPr="00B31A73">
              <w:t>-</w:t>
            </w:r>
            <w:r w:rsidR="00FA13BD">
              <w:t>33</w:t>
            </w:r>
            <w:r w:rsidRPr="00B31A73">
              <w:t>%</w:t>
            </w:r>
          </w:p>
        </w:tc>
      </w:tr>
    </w:tbl>
    <w:p w14:paraId="52423D7C" w14:textId="06CF6489" w:rsidR="007D4267" w:rsidRDefault="007D4267" w:rsidP="00CA6307">
      <w:pPr>
        <w:rPr>
          <w:b/>
        </w:rPr>
      </w:pPr>
    </w:p>
    <w:p w14:paraId="5D508EA5" w14:textId="7317BF0C" w:rsidR="00104DD0" w:rsidRDefault="00104DD0" w:rsidP="00CA6307">
      <w:pPr>
        <w:rPr>
          <w:b/>
        </w:rPr>
      </w:pPr>
    </w:p>
    <w:p w14:paraId="710928F8" w14:textId="07759B5F" w:rsidR="00104DD0" w:rsidRDefault="00104DD0" w:rsidP="00CA6307">
      <w:pPr>
        <w:rPr>
          <w:b/>
        </w:rPr>
      </w:pPr>
    </w:p>
    <w:p w14:paraId="45D646EE" w14:textId="486BF3E0" w:rsidR="00104DD0" w:rsidRDefault="00104DD0" w:rsidP="00CA6307">
      <w:pPr>
        <w:rPr>
          <w:b/>
        </w:rPr>
      </w:pPr>
    </w:p>
    <w:p w14:paraId="7077A2ED" w14:textId="77777777" w:rsidR="00104DD0" w:rsidRDefault="00104DD0" w:rsidP="00CA6307">
      <w:pPr>
        <w:rPr>
          <w:b/>
        </w:rPr>
      </w:pPr>
    </w:p>
    <w:p w14:paraId="38E99613" w14:textId="0DC22282" w:rsidR="007D4267" w:rsidRPr="007D4267" w:rsidRDefault="007D4267" w:rsidP="00CA6307">
      <w:pPr>
        <w:rPr>
          <w:b/>
        </w:rPr>
      </w:pPr>
      <w:r w:rsidRPr="007D4267">
        <w:rPr>
          <w:b/>
        </w:rPr>
        <w:t>Table 4</w:t>
      </w:r>
    </w:p>
    <w:tbl>
      <w:tblPr>
        <w:tblW w:w="10710" w:type="dxa"/>
        <w:tblLook w:val="04A0" w:firstRow="1" w:lastRow="0" w:firstColumn="1" w:lastColumn="0" w:noHBand="0" w:noVBand="1"/>
      </w:tblPr>
      <w:tblGrid>
        <w:gridCol w:w="1540"/>
        <w:gridCol w:w="2330"/>
        <w:gridCol w:w="90"/>
        <w:gridCol w:w="2250"/>
        <w:gridCol w:w="2070"/>
        <w:gridCol w:w="90"/>
        <w:gridCol w:w="180"/>
        <w:gridCol w:w="2070"/>
        <w:gridCol w:w="90"/>
      </w:tblGrid>
      <w:tr w:rsidR="007D4267" w:rsidRPr="00B31A73" w14:paraId="702AF89A" w14:textId="77777777" w:rsidTr="00DA35E2">
        <w:trPr>
          <w:trHeight w:val="260"/>
        </w:trPr>
        <w:tc>
          <w:tcPr>
            <w:tcW w:w="1540" w:type="dxa"/>
            <w:tcBorders>
              <w:top w:val="nil"/>
              <w:left w:val="nil"/>
              <w:bottom w:val="nil"/>
              <w:right w:val="nil"/>
            </w:tcBorders>
            <w:shd w:val="clear" w:color="auto" w:fill="auto"/>
            <w:noWrap/>
            <w:vAlign w:val="bottom"/>
            <w:hideMark/>
          </w:tcPr>
          <w:p w14:paraId="3626FD45" w14:textId="6BE80BE7" w:rsidR="007D4267" w:rsidRPr="00B31A73" w:rsidRDefault="007D4267" w:rsidP="00222567"/>
        </w:tc>
        <w:tc>
          <w:tcPr>
            <w:tcW w:w="9170" w:type="dxa"/>
            <w:gridSpan w:val="8"/>
            <w:tcBorders>
              <w:top w:val="nil"/>
              <w:left w:val="nil"/>
              <w:bottom w:val="single" w:sz="4" w:space="0" w:color="auto"/>
              <w:right w:val="nil"/>
            </w:tcBorders>
            <w:shd w:val="clear" w:color="auto" w:fill="auto"/>
            <w:noWrap/>
            <w:vAlign w:val="bottom"/>
            <w:hideMark/>
          </w:tcPr>
          <w:p w14:paraId="10CEFF75" w14:textId="5CE1E416" w:rsidR="007D4267" w:rsidRPr="00B31A73" w:rsidRDefault="007D4267" w:rsidP="00222567">
            <w:pPr>
              <w:jc w:val="center"/>
            </w:pPr>
            <w:r w:rsidRPr="00B31A73">
              <w:t>Correlation (sets of 13 independent 10-year observations)</w:t>
            </w:r>
          </w:p>
        </w:tc>
      </w:tr>
      <w:tr w:rsidR="00DA35E2" w:rsidRPr="00B31A73" w14:paraId="3F515374" w14:textId="77777777" w:rsidTr="00C108EF">
        <w:trPr>
          <w:trHeight w:val="576"/>
        </w:trPr>
        <w:tc>
          <w:tcPr>
            <w:tcW w:w="1540" w:type="dxa"/>
            <w:tcBorders>
              <w:top w:val="nil"/>
              <w:left w:val="nil"/>
              <w:bottom w:val="nil"/>
              <w:right w:val="nil"/>
            </w:tcBorders>
            <w:shd w:val="clear" w:color="auto" w:fill="auto"/>
            <w:vAlign w:val="bottom"/>
            <w:hideMark/>
          </w:tcPr>
          <w:p w14:paraId="3B9028A0" w14:textId="4EC3B71C" w:rsidR="00DA35E2" w:rsidRPr="00B31A73" w:rsidRDefault="00104DD0" w:rsidP="00DA35E2">
            <w:pPr>
              <w:jc w:val="center"/>
            </w:pPr>
            <w:r>
              <w:rPr>
                <w:b/>
                <w:noProof/>
              </w:rPr>
              <mc:AlternateContent>
                <mc:Choice Requires="wps">
                  <w:drawing>
                    <wp:anchor distT="0" distB="0" distL="114300" distR="114300" simplePos="0" relativeHeight="251667456" behindDoc="0" locked="0" layoutInCell="1" allowOverlap="1" wp14:anchorId="2B3AF544" wp14:editId="1FFC99FE">
                      <wp:simplePos x="0" y="0"/>
                      <wp:positionH relativeFrom="column">
                        <wp:posOffset>-101600</wp:posOffset>
                      </wp:positionH>
                      <wp:positionV relativeFrom="paragraph">
                        <wp:posOffset>-1728470</wp:posOffset>
                      </wp:positionV>
                      <wp:extent cx="2963545" cy="244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963545" cy="244475"/>
                              </a:xfrm>
                              <a:prstGeom prst="rect">
                                <a:avLst/>
                              </a:prstGeom>
                              <a:solidFill>
                                <a:schemeClr val="lt1"/>
                              </a:solidFill>
                              <a:ln w="6350">
                                <a:noFill/>
                              </a:ln>
                            </wps:spPr>
                            <wps:txbx>
                              <w:txbxContent>
                                <w:p w14:paraId="7D465CCF" w14:textId="77777777" w:rsidR="00104DD0" w:rsidRDefault="00104DD0" w:rsidP="00104DD0">
                                  <w:pPr>
                                    <w:rPr>
                                      <w:sz w:val="18"/>
                                      <w:szCs w:val="18"/>
                                    </w:rPr>
                                  </w:pPr>
                                  <w:r>
                                    <w:rPr>
                                      <w:sz w:val="18"/>
                                      <w:szCs w:val="18"/>
                                    </w:rPr>
                                    <w:t>Source: Robert Shiller data, author’s calculations</w:t>
                                  </w:r>
                                </w:p>
                                <w:p w14:paraId="0F635E5F" w14:textId="19D665AB" w:rsidR="00104DD0" w:rsidRPr="000F57FF" w:rsidRDefault="00104DD0" w:rsidP="00104DD0">
                                  <w:pPr>
                                    <w:rPr>
                                      <w:sz w:val="18"/>
                                      <w:szCs w:val="18"/>
                                    </w:rPr>
                                  </w:pPr>
                                </w:p>
                                <w:p w14:paraId="72282F03" w14:textId="45548C8E" w:rsidR="00104DD0" w:rsidRPr="000F57FF" w:rsidRDefault="00104DD0" w:rsidP="00104DD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F544" id="Text Box 7" o:spid="_x0000_s1028" type="#_x0000_t202" style="position:absolute;left:0;text-align:left;margin-left:-8pt;margin-top:-136.1pt;width:233.35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" fillcolor="white [3201]" stroked="f" strokeweight=".5pt">
                      <v:textbox>
                        <w:txbxContent>
                          <w:p w14:paraId="7D465CCF" w14:textId="77777777" w:rsidR="00104DD0" w:rsidRDefault="00104DD0" w:rsidP="00104DD0">
                            <w:pPr>
                              <w:rPr>
                                <w:sz w:val="18"/>
                                <w:szCs w:val="18"/>
                              </w:rPr>
                            </w:pPr>
                            <w:r>
                              <w:rPr>
                                <w:sz w:val="18"/>
                                <w:szCs w:val="18"/>
                              </w:rPr>
                              <w:t>Source: Robert Shiller data, author’s calculations</w:t>
                            </w:r>
                          </w:p>
                          <w:p w14:paraId="0F635E5F" w14:textId="19D665AB" w:rsidR="00104DD0" w:rsidRPr="000F57FF" w:rsidRDefault="00104DD0" w:rsidP="00104DD0">
                            <w:pPr>
                              <w:rPr>
                                <w:sz w:val="18"/>
                                <w:szCs w:val="18"/>
                              </w:rPr>
                            </w:pPr>
                          </w:p>
                          <w:p w14:paraId="72282F03" w14:textId="45548C8E" w:rsidR="00104DD0" w:rsidRPr="000F57FF" w:rsidRDefault="00104DD0" w:rsidP="00104DD0">
                            <w:pPr>
                              <w:rPr>
                                <w:sz w:val="18"/>
                                <w:szCs w:val="18"/>
                              </w:rPr>
                            </w:pPr>
                          </w:p>
                        </w:txbxContent>
                      </v:textbox>
                    </v:shape>
                  </w:pict>
                </mc:Fallback>
              </mc:AlternateContent>
            </w:r>
            <w:r w:rsidR="00DA35E2" w:rsidRPr="00B31A73">
              <w:t>Initial period</w:t>
            </w:r>
          </w:p>
        </w:tc>
        <w:tc>
          <w:tcPr>
            <w:tcW w:w="2330" w:type="dxa"/>
            <w:tcBorders>
              <w:top w:val="nil"/>
              <w:left w:val="nil"/>
              <w:bottom w:val="nil"/>
              <w:right w:val="nil"/>
            </w:tcBorders>
            <w:shd w:val="clear" w:color="auto" w:fill="auto"/>
            <w:vAlign w:val="bottom"/>
            <w:hideMark/>
          </w:tcPr>
          <w:p w14:paraId="2473658F" w14:textId="5499C736" w:rsidR="00DA35E2" w:rsidRPr="00B31A73" w:rsidRDefault="00DA35E2" w:rsidP="00DA35E2">
            <w:pPr>
              <w:jc w:val="center"/>
            </w:pPr>
            <w:r w:rsidRPr="00B31A73">
              <w:t>Subsequent excess equity return over 10-year Treasury return with ERS</w:t>
            </w:r>
          </w:p>
        </w:tc>
        <w:tc>
          <w:tcPr>
            <w:tcW w:w="2340" w:type="dxa"/>
            <w:gridSpan w:val="2"/>
            <w:tcBorders>
              <w:top w:val="nil"/>
              <w:left w:val="nil"/>
              <w:bottom w:val="nil"/>
              <w:right w:val="nil"/>
            </w:tcBorders>
            <w:shd w:val="clear" w:color="auto" w:fill="auto"/>
            <w:vAlign w:val="bottom"/>
            <w:hideMark/>
          </w:tcPr>
          <w:p w14:paraId="7A0BD3D8" w14:textId="5DABBB79" w:rsidR="00DA35E2" w:rsidRPr="00B31A73" w:rsidRDefault="00DA35E2" w:rsidP="00DA35E2">
            <w:pPr>
              <w:jc w:val="center"/>
            </w:pPr>
            <w:r w:rsidRPr="00B31A73">
              <w:t>Subsequent excess equity return over 10-year Treasury return</w:t>
            </w:r>
            <w:r>
              <w:t xml:space="preserve"> with CAPE</w:t>
            </w:r>
          </w:p>
        </w:tc>
        <w:tc>
          <w:tcPr>
            <w:tcW w:w="2160" w:type="dxa"/>
            <w:gridSpan w:val="2"/>
            <w:tcBorders>
              <w:top w:val="nil"/>
              <w:left w:val="nil"/>
              <w:bottom w:val="nil"/>
              <w:right w:val="nil"/>
            </w:tcBorders>
            <w:shd w:val="clear" w:color="auto" w:fill="auto"/>
            <w:vAlign w:val="bottom"/>
            <w:hideMark/>
          </w:tcPr>
          <w:p w14:paraId="32CB0ED0" w14:textId="6D968A96" w:rsidR="00DA35E2" w:rsidRPr="00B31A73" w:rsidRDefault="00DA35E2" w:rsidP="00DA35E2">
            <w:pPr>
              <w:jc w:val="center"/>
            </w:pPr>
            <w:r w:rsidRPr="00B31A73">
              <w:t xml:space="preserve">Subsequent equity </w:t>
            </w:r>
            <w:proofErr w:type="gramStart"/>
            <w:r w:rsidRPr="00B31A73">
              <w:t>return</w:t>
            </w:r>
            <w:proofErr w:type="gramEnd"/>
            <w:r w:rsidRPr="00B31A73">
              <w:t xml:space="preserve"> with </w:t>
            </w:r>
            <w:r w:rsidR="00C108EF">
              <w:t xml:space="preserve">nominal </w:t>
            </w:r>
            <w:r w:rsidRPr="00B31A73">
              <w:t>return predicted by ERS</w:t>
            </w:r>
          </w:p>
        </w:tc>
        <w:tc>
          <w:tcPr>
            <w:tcW w:w="2340" w:type="dxa"/>
            <w:gridSpan w:val="3"/>
            <w:tcBorders>
              <w:top w:val="nil"/>
              <w:left w:val="nil"/>
              <w:bottom w:val="nil"/>
              <w:right w:val="nil"/>
            </w:tcBorders>
            <w:shd w:val="clear" w:color="auto" w:fill="auto"/>
            <w:vAlign w:val="bottom"/>
            <w:hideMark/>
          </w:tcPr>
          <w:p w14:paraId="33041974" w14:textId="60E4E1E0" w:rsidR="00DA35E2" w:rsidRPr="00B31A73" w:rsidRDefault="00DA35E2" w:rsidP="00DA35E2">
            <w:pPr>
              <w:jc w:val="center"/>
            </w:pPr>
            <w:r w:rsidRPr="00B31A73">
              <w:t xml:space="preserve">Subsequent equity </w:t>
            </w:r>
            <w:proofErr w:type="gramStart"/>
            <w:r w:rsidRPr="00B31A73">
              <w:t>return</w:t>
            </w:r>
            <w:proofErr w:type="gramEnd"/>
            <w:r w:rsidRPr="00B31A73">
              <w:t xml:space="preserve"> with </w:t>
            </w:r>
            <w:r w:rsidR="00C108EF">
              <w:t xml:space="preserve">nominal </w:t>
            </w:r>
            <w:r w:rsidRPr="00B31A73">
              <w:t>return predicted by CAPE</w:t>
            </w:r>
          </w:p>
        </w:tc>
      </w:tr>
      <w:tr w:rsidR="00222567" w:rsidRPr="00B31A73" w14:paraId="60A3A5DA" w14:textId="77777777" w:rsidTr="00C108EF">
        <w:trPr>
          <w:trHeight w:val="260"/>
        </w:trPr>
        <w:tc>
          <w:tcPr>
            <w:tcW w:w="1540" w:type="dxa"/>
            <w:tcBorders>
              <w:top w:val="nil"/>
              <w:left w:val="nil"/>
              <w:bottom w:val="nil"/>
              <w:right w:val="nil"/>
            </w:tcBorders>
            <w:shd w:val="clear" w:color="auto" w:fill="auto"/>
            <w:noWrap/>
            <w:vAlign w:val="bottom"/>
            <w:hideMark/>
          </w:tcPr>
          <w:p w14:paraId="2DFB5A97" w14:textId="5DD224E7" w:rsidR="00222567" w:rsidRPr="00222567" w:rsidRDefault="00222567" w:rsidP="00222567">
            <w:pPr>
              <w:jc w:val="center"/>
            </w:pPr>
            <w:r w:rsidRPr="00222567">
              <w:t>1881 - 1890</w:t>
            </w:r>
          </w:p>
        </w:tc>
        <w:tc>
          <w:tcPr>
            <w:tcW w:w="2330" w:type="dxa"/>
            <w:tcBorders>
              <w:top w:val="nil"/>
              <w:left w:val="nil"/>
              <w:bottom w:val="nil"/>
              <w:right w:val="nil"/>
            </w:tcBorders>
            <w:shd w:val="clear" w:color="auto" w:fill="auto"/>
            <w:noWrap/>
            <w:vAlign w:val="bottom"/>
            <w:hideMark/>
          </w:tcPr>
          <w:p w14:paraId="1ECF1758" w14:textId="0F3CCE07" w:rsidR="00222567" w:rsidRPr="006A59CE" w:rsidRDefault="00222567" w:rsidP="00222567">
            <w:pPr>
              <w:jc w:val="center"/>
            </w:pPr>
            <w:r w:rsidRPr="006A59CE">
              <w:rPr>
                <w:color w:val="000000"/>
              </w:rPr>
              <w:t>-6</w:t>
            </w:r>
            <w:r w:rsidR="00F15417">
              <w:rPr>
                <w:color w:val="000000"/>
              </w:rPr>
              <w:t>5</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09BF3F33" w14:textId="3957CF7C" w:rsidR="00222567" w:rsidRPr="006A59CE" w:rsidRDefault="00222567" w:rsidP="00222567">
            <w:pPr>
              <w:jc w:val="center"/>
            </w:pPr>
            <w:r w:rsidRPr="006A59CE">
              <w:rPr>
                <w:color w:val="000000"/>
              </w:rPr>
              <w:t>-53%</w:t>
            </w:r>
          </w:p>
        </w:tc>
        <w:tc>
          <w:tcPr>
            <w:tcW w:w="2340" w:type="dxa"/>
            <w:gridSpan w:val="3"/>
            <w:tcBorders>
              <w:top w:val="nil"/>
              <w:left w:val="nil"/>
              <w:bottom w:val="nil"/>
              <w:right w:val="nil"/>
            </w:tcBorders>
            <w:shd w:val="clear" w:color="auto" w:fill="auto"/>
            <w:noWrap/>
            <w:vAlign w:val="bottom"/>
            <w:hideMark/>
          </w:tcPr>
          <w:p w14:paraId="08E82BCC" w14:textId="78BFA7A7" w:rsidR="00222567" w:rsidRPr="006A59CE" w:rsidRDefault="00222567" w:rsidP="00222567">
            <w:pPr>
              <w:jc w:val="center"/>
            </w:pPr>
            <w:r w:rsidRPr="006A59CE">
              <w:rPr>
                <w:color w:val="000000"/>
              </w:rPr>
              <w:t>68%</w:t>
            </w:r>
            <w:r>
              <w:rPr>
                <w:color w:val="000000"/>
              </w:rPr>
              <w:t>*</w:t>
            </w:r>
          </w:p>
        </w:tc>
        <w:tc>
          <w:tcPr>
            <w:tcW w:w="2160" w:type="dxa"/>
            <w:gridSpan w:val="2"/>
            <w:tcBorders>
              <w:top w:val="nil"/>
              <w:left w:val="nil"/>
              <w:bottom w:val="nil"/>
              <w:right w:val="nil"/>
            </w:tcBorders>
            <w:shd w:val="clear" w:color="auto" w:fill="auto"/>
            <w:noWrap/>
            <w:vAlign w:val="bottom"/>
            <w:hideMark/>
          </w:tcPr>
          <w:p w14:paraId="4DE4E14A" w14:textId="6B8FA92D" w:rsidR="00222567" w:rsidRPr="006A59CE" w:rsidRDefault="00222567" w:rsidP="00222567">
            <w:pPr>
              <w:jc w:val="center"/>
            </w:pPr>
            <w:r w:rsidRPr="006A59CE">
              <w:rPr>
                <w:color w:val="000000"/>
              </w:rPr>
              <w:t>61%</w:t>
            </w:r>
            <w:r>
              <w:rPr>
                <w:color w:val="000000"/>
              </w:rPr>
              <w:t>*</w:t>
            </w:r>
          </w:p>
        </w:tc>
      </w:tr>
      <w:tr w:rsidR="00222567" w:rsidRPr="00B31A73" w14:paraId="69C7FD4F" w14:textId="77777777" w:rsidTr="00C108EF">
        <w:trPr>
          <w:trHeight w:val="260"/>
        </w:trPr>
        <w:tc>
          <w:tcPr>
            <w:tcW w:w="1540" w:type="dxa"/>
            <w:tcBorders>
              <w:top w:val="nil"/>
              <w:left w:val="nil"/>
              <w:bottom w:val="nil"/>
              <w:right w:val="nil"/>
            </w:tcBorders>
            <w:shd w:val="clear" w:color="auto" w:fill="auto"/>
            <w:noWrap/>
            <w:vAlign w:val="bottom"/>
            <w:hideMark/>
          </w:tcPr>
          <w:p w14:paraId="011E9176" w14:textId="347E824D" w:rsidR="00222567" w:rsidRPr="00222567" w:rsidRDefault="00222567" w:rsidP="00222567">
            <w:pPr>
              <w:jc w:val="center"/>
            </w:pPr>
            <w:r w:rsidRPr="00222567">
              <w:t>1882 - 1891</w:t>
            </w:r>
          </w:p>
        </w:tc>
        <w:tc>
          <w:tcPr>
            <w:tcW w:w="2330" w:type="dxa"/>
            <w:tcBorders>
              <w:top w:val="nil"/>
              <w:left w:val="nil"/>
              <w:bottom w:val="nil"/>
              <w:right w:val="nil"/>
            </w:tcBorders>
            <w:shd w:val="clear" w:color="auto" w:fill="auto"/>
            <w:noWrap/>
            <w:vAlign w:val="bottom"/>
            <w:hideMark/>
          </w:tcPr>
          <w:p w14:paraId="0CBF199D" w14:textId="4526F216" w:rsidR="00222567" w:rsidRPr="006A59CE" w:rsidRDefault="00222567" w:rsidP="00222567">
            <w:pPr>
              <w:jc w:val="center"/>
            </w:pPr>
            <w:r w:rsidRPr="006A59CE">
              <w:rPr>
                <w:color w:val="000000"/>
              </w:rPr>
              <w:t>-</w:t>
            </w:r>
            <w:r w:rsidR="00F15417">
              <w:rPr>
                <w:color w:val="000000"/>
              </w:rPr>
              <w:t>70</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1A4642ED" w14:textId="01E59727" w:rsidR="00222567" w:rsidRPr="006A59CE" w:rsidRDefault="00222567" w:rsidP="00222567">
            <w:pPr>
              <w:jc w:val="center"/>
            </w:pPr>
            <w:r w:rsidRPr="006A59CE">
              <w:rPr>
                <w:color w:val="000000"/>
              </w:rPr>
              <w:t>-40%</w:t>
            </w:r>
          </w:p>
        </w:tc>
        <w:tc>
          <w:tcPr>
            <w:tcW w:w="2340" w:type="dxa"/>
            <w:gridSpan w:val="3"/>
            <w:tcBorders>
              <w:top w:val="nil"/>
              <w:left w:val="nil"/>
              <w:bottom w:val="nil"/>
              <w:right w:val="nil"/>
            </w:tcBorders>
            <w:shd w:val="clear" w:color="auto" w:fill="auto"/>
            <w:noWrap/>
            <w:vAlign w:val="bottom"/>
            <w:hideMark/>
          </w:tcPr>
          <w:p w14:paraId="1482477E" w14:textId="5FE45E06" w:rsidR="00222567" w:rsidRPr="006A59CE" w:rsidRDefault="00222567" w:rsidP="00222567">
            <w:pPr>
              <w:jc w:val="center"/>
            </w:pPr>
            <w:r w:rsidRPr="006A59CE">
              <w:rPr>
                <w:color w:val="000000"/>
              </w:rPr>
              <w:t>73%</w:t>
            </w:r>
            <w:r>
              <w:rPr>
                <w:color w:val="000000"/>
              </w:rPr>
              <w:t>**</w:t>
            </w:r>
          </w:p>
        </w:tc>
        <w:tc>
          <w:tcPr>
            <w:tcW w:w="2160" w:type="dxa"/>
            <w:gridSpan w:val="2"/>
            <w:tcBorders>
              <w:top w:val="nil"/>
              <w:left w:val="nil"/>
              <w:bottom w:val="nil"/>
              <w:right w:val="nil"/>
            </w:tcBorders>
            <w:shd w:val="clear" w:color="auto" w:fill="auto"/>
            <w:noWrap/>
            <w:vAlign w:val="bottom"/>
            <w:hideMark/>
          </w:tcPr>
          <w:p w14:paraId="64FD703F" w14:textId="046A7B01" w:rsidR="00222567" w:rsidRPr="006A59CE" w:rsidRDefault="00222567" w:rsidP="00222567">
            <w:pPr>
              <w:jc w:val="center"/>
            </w:pPr>
            <w:r w:rsidRPr="006A59CE">
              <w:rPr>
                <w:color w:val="000000"/>
              </w:rPr>
              <w:t>47%</w:t>
            </w:r>
          </w:p>
        </w:tc>
      </w:tr>
      <w:tr w:rsidR="00222567" w:rsidRPr="00B31A73" w14:paraId="68CF4827" w14:textId="77777777" w:rsidTr="00C108EF">
        <w:trPr>
          <w:trHeight w:val="260"/>
        </w:trPr>
        <w:tc>
          <w:tcPr>
            <w:tcW w:w="1540" w:type="dxa"/>
            <w:tcBorders>
              <w:top w:val="nil"/>
              <w:left w:val="nil"/>
              <w:bottom w:val="nil"/>
              <w:right w:val="nil"/>
            </w:tcBorders>
            <w:shd w:val="clear" w:color="auto" w:fill="auto"/>
            <w:noWrap/>
            <w:vAlign w:val="bottom"/>
            <w:hideMark/>
          </w:tcPr>
          <w:p w14:paraId="384DAEBE" w14:textId="2B5319E5" w:rsidR="00222567" w:rsidRPr="00222567" w:rsidRDefault="00222567" w:rsidP="00222567">
            <w:pPr>
              <w:jc w:val="center"/>
            </w:pPr>
            <w:r w:rsidRPr="00222567">
              <w:t>1883 - 1892</w:t>
            </w:r>
          </w:p>
        </w:tc>
        <w:tc>
          <w:tcPr>
            <w:tcW w:w="2330" w:type="dxa"/>
            <w:tcBorders>
              <w:top w:val="nil"/>
              <w:left w:val="nil"/>
              <w:bottom w:val="nil"/>
              <w:right w:val="nil"/>
            </w:tcBorders>
            <w:shd w:val="clear" w:color="auto" w:fill="auto"/>
            <w:noWrap/>
            <w:vAlign w:val="bottom"/>
            <w:hideMark/>
          </w:tcPr>
          <w:p w14:paraId="17359035" w14:textId="6E0E7AD7" w:rsidR="00222567" w:rsidRPr="006A59CE" w:rsidRDefault="00222567" w:rsidP="00222567">
            <w:pPr>
              <w:jc w:val="center"/>
            </w:pPr>
            <w:r w:rsidRPr="006A59CE">
              <w:rPr>
                <w:color w:val="000000"/>
              </w:rPr>
              <w:t>-7</w:t>
            </w:r>
            <w:r w:rsidR="00F15417">
              <w:rPr>
                <w:color w:val="000000"/>
              </w:rPr>
              <w:t>2</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7CEA0B48" w14:textId="4B81B1BA" w:rsidR="00222567" w:rsidRPr="006A59CE" w:rsidRDefault="00222567" w:rsidP="00222567">
            <w:pPr>
              <w:jc w:val="center"/>
            </w:pPr>
            <w:r w:rsidRPr="006A59CE">
              <w:rPr>
                <w:color w:val="000000"/>
              </w:rPr>
              <w:t>-2</w:t>
            </w:r>
            <w:r w:rsidR="00F15417">
              <w:rPr>
                <w:color w:val="000000"/>
              </w:rPr>
              <w:t>8</w:t>
            </w:r>
            <w:r w:rsidRPr="006A59CE">
              <w:rPr>
                <w:color w:val="000000"/>
              </w:rPr>
              <w:t>%</w:t>
            </w:r>
          </w:p>
        </w:tc>
        <w:tc>
          <w:tcPr>
            <w:tcW w:w="2340" w:type="dxa"/>
            <w:gridSpan w:val="3"/>
            <w:tcBorders>
              <w:top w:val="nil"/>
              <w:left w:val="nil"/>
              <w:bottom w:val="nil"/>
              <w:right w:val="nil"/>
            </w:tcBorders>
            <w:shd w:val="clear" w:color="auto" w:fill="auto"/>
            <w:noWrap/>
            <w:vAlign w:val="bottom"/>
            <w:hideMark/>
          </w:tcPr>
          <w:p w14:paraId="39BFB4AE" w14:textId="76EA47C4" w:rsidR="00222567" w:rsidRPr="006A59CE" w:rsidRDefault="00222567" w:rsidP="00222567">
            <w:pPr>
              <w:jc w:val="center"/>
            </w:pPr>
            <w:r w:rsidRPr="006A59CE">
              <w:rPr>
                <w:color w:val="000000"/>
              </w:rPr>
              <w:t>62%</w:t>
            </w:r>
            <w:r>
              <w:rPr>
                <w:color w:val="000000"/>
              </w:rPr>
              <w:t>*</w:t>
            </w:r>
          </w:p>
        </w:tc>
        <w:tc>
          <w:tcPr>
            <w:tcW w:w="2160" w:type="dxa"/>
            <w:gridSpan w:val="2"/>
            <w:tcBorders>
              <w:top w:val="nil"/>
              <w:left w:val="nil"/>
              <w:bottom w:val="nil"/>
              <w:right w:val="nil"/>
            </w:tcBorders>
            <w:shd w:val="clear" w:color="auto" w:fill="auto"/>
            <w:noWrap/>
            <w:vAlign w:val="bottom"/>
            <w:hideMark/>
          </w:tcPr>
          <w:p w14:paraId="0A8343DE" w14:textId="189C3FF4" w:rsidR="00222567" w:rsidRPr="006A59CE" w:rsidRDefault="00222567" w:rsidP="00222567">
            <w:pPr>
              <w:jc w:val="center"/>
            </w:pPr>
            <w:r w:rsidRPr="006A59CE">
              <w:rPr>
                <w:color w:val="000000"/>
              </w:rPr>
              <w:t>33%</w:t>
            </w:r>
          </w:p>
        </w:tc>
      </w:tr>
      <w:tr w:rsidR="00222567" w:rsidRPr="00B31A73" w14:paraId="3D71F402" w14:textId="77777777" w:rsidTr="00C108EF">
        <w:trPr>
          <w:trHeight w:val="260"/>
        </w:trPr>
        <w:tc>
          <w:tcPr>
            <w:tcW w:w="1540" w:type="dxa"/>
            <w:tcBorders>
              <w:top w:val="nil"/>
              <w:left w:val="nil"/>
              <w:bottom w:val="nil"/>
              <w:right w:val="nil"/>
            </w:tcBorders>
            <w:shd w:val="clear" w:color="auto" w:fill="auto"/>
            <w:noWrap/>
            <w:vAlign w:val="bottom"/>
            <w:hideMark/>
          </w:tcPr>
          <w:p w14:paraId="730FFC52" w14:textId="7C5DF195" w:rsidR="00222567" w:rsidRPr="00222567" w:rsidRDefault="00222567" w:rsidP="00222567">
            <w:pPr>
              <w:jc w:val="center"/>
            </w:pPr>
            <w:r w:rsidRPr="00222567">
              <w:t>1884 - 1893</w:t>
            </w:r>
          </w:p>
        </w:tc>
        <w:tc>
          <w:tcPr>
            <w:tcW w:w="2330" w:type="dxa"/>
            <w:tcBorders>
              <w:top w:val="nil"/>
              <w:left w:val="nil"/>
              <w:bottom w:val="nil"/>
              <w:right w:val="nil"/>
            </w:tcBorders>
            <w:shd w:val="clear" w:color="auto" w:fill="auto"/>
            <w:noWrap/>
            <w:vAlign w:val="bottom"/>
            <w:hideMark/>
          </w:tcPr>
          <w:p w14:paraId="474FD52B" w14:textId="4B9A172C" w:rsidR="00222567" w:rsidRPr="006A59CE" w:rsidRDefault="00222567" w:rsidP="00222567">
            <w:pPr>
              <w:jc w:val="center"/>
            </w:pPr>
            <w:r w:rsidRPr="006A59CE">
              <w:rPr>
                <w:color w:val="000000"/>
              </w:rPr>
              <w:t>-6</w:t>
            </w:r>
            <w:r w:rsidR="00F15417">
              <w:rPr>
                <w:color w:val="000000"/>
              </w:rPr>
              <w:t>8</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5CB1A45E" w14:textId="1E9EFC22" w:rsidR="00222567" w:rsidRPr="006A59CE" w:rsidRDefault="00222567" w:rsidP="00222567">
            <w:pPr>
              <w:jc w:val="center"/>
            </w:pPr>
            <w:r w:rsidRPr="006A59CE">
              <w:rPr>
                <w:color w:val="000000"/>
              </w:rPr>
              <w:t>-2</w:t>
            </w:r>
            <w:r w:rsidR="00F15417">
              <w:rPr>
                <w:color w:val="000000"/>
              </w:rPr>
              <w:t>7</w:t>
            </w:r>
            <w:r w:rsidRPr="006A59CE">
              <w:rPr>
                <w:color w:val="000000"/>
              </w:rPr>
              <w:t>%</w:t>
            </w:r>
          </w:p>
        </w:tc>
        <w:tc>
          <w:tcPr>
            <w:tcW w:w="2340" w:type="dxa"/>
            <w:gridSpan w:val="3"/>
            <w:tcBorders>
              <w:top w:val="nil"/>
              <w:left w:val="nil"/>
              <w:bottom w:val="nil"/>
              <w:right w:val="nil"/>
            </w:tcBorders>
            <w:shd w:val="clear" w:color="auto" w:fill="auto"/>
            <w:noWrap/>
            <w:vAlign w:val="bottom"/>
            <w:hideMark/>
          </w:tcPr>
          <w:p w14:paraId="25FB8A82" w14:textId="0D711224" w:rsidR="00222567" w:rsidRPr="006A59CE" w:rsidRDefault="00222567" w:rsidP="00222567">
            <w:pPr>
              <w:jc w:val="center"/>
            </w:pPr>
            <w:r w:rsidRPr="006A59CE">
              <w:rPr>
                <w:color w:val="000000"/>
              </w:rPr>
              <w:t>60%</w:t>
            </w:r>
            <w:r>
              <w:rPr>
                <w:color w:val="000000"/>
              </w:rPr>
              <w:t>*</w:t>
            </w:r>
          </w:p>
        </w:tc>
        <w:tc>
          <w:tcPr>
            <w:tcW w:w="2160" w:type="dxa"/>
            <w:gridSpan w:val="2"/>
            <w:tcBorders>
              <w:top w:val="nil"/>
              <w:left w:val="nil"/>
              <w:bottom w:val="nil"/>
              <w:right w:val="nil"/>
            </w:tcBorders>
            <w:shd w:val="clear" w:color="auto" w:fill="auto"/>
            <w:noWrap/>
            <w:vAlign w:val="bottom"/>
            <w:hideMark/>
          </w:tcPr>
          <w:p w14:paraId="3DFD6755" w14:textId="6C701FEE" w:rsidR="00222567" w:rsidRPr="006A59CE" w:rsidRDefault="00222567" w:rsidP="00222567">
            <w:pPr>
              <w:jc w:val="center"/>
            </w:pPr>
            <w:r w:rsidRPr="006A59CE">
              <w:rPr>
                <w:color w:val="000000"/>
              </w:rPr>
              <w:t>34%</w:t>
            </w:r>
          </w:p>
        </w:tc>
      </w:tr>
      <w:tr w:rsidR="00222567" w:rsidRPr="00B31A73" w14:paraId="561D56F3" w14:textId="77777777" w:rsidTr="00C108EF">
        <w:trPr>
          <w:trHeight w:val="260"/>
        </w:trPr>
        <w:tc>
          <w:tcPr>
            <w:tcW w:w="1540" w:type="dxa"/>
            <w:tcBorders>
              <w:top w:val="nil"/>
              <w:left w:val="nil"/>
              <w:bottom w:val="nil"/>
              <w:right w:val="nil"/>
            </w:tcBorders>
            <w:shd w:val="clear" w:color="auto" w:fill="auto"/>
            <w:noWrap/>
            <w:vAlign w:val="bottom"/>
            <w:hideMark/>
          </w:tcPr>
          <w:p w14:paraId="57AAB92E" w14:textId="0178B546" w:rsidR="00222567" w:rsidRPr="00222567" w:rsidRDefault="00222567" w:rsidP="00222567">
            <w:pPr>
              <w:jc w:val="center"/>
            </w:pPr>
            <w:r w:rsidRPr="00222567">
              <w:t>1885 - 1894</w:t>
            </w:r>
          </w:p>
        </w:tc>
        <w:tc>
          <w:tcPr>
            <w:tcW w:w="2330" w:type="dxa"/>
            <w:tcBorders>
              <w:top w:val="nil"/>
              <w:left w:val="nil"/>
              <w:bottom w:val="nil"/>
              <w:right w:val="nil"/>
            </w:tcBorders>
            <w:shd w:val="clear" w:color="auto" w:fill="auto"/>
            <w:noWrap/>
            <w:vAlign w:val="bottom"/>
            <w:hideMark/>
          </w:tcPr>
          <w:p w14:paraId="4B8F0C5A" w14:textId="41877137" w:rsidR="00222567" w:rsidRPr="006A59CE" w:rsidRDefault="00222567" w:rsidP="00222567">
            <w:pPr>
              <w:jc w:val="center"/>
            </w:pPr>
            <w:r w:rsidRPr="006A59CE">
              <w:rPr>
                <w:color w:val="000000"/>
              </w:rPr>
              <w:t>-</w:t>
            </w:r>
            <w:r w:rsidR="00F15417">
              <w:rPr>
                <w:color w:val="000000"/>
              </w:rPr>
              <w:t>60</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49D9AF16" w14:textId="5AFD2347" w:rsidR="00222567" w:rsidRPr="006A59CE" w:rsidRDefault="00222567" w:rsidP="00222567">
            <w:pPr>
              <w:jc w:val="center"/>
            </w:pPr>
            <w:r w:rsidRPr="006A59CE">
              <w:rPr>
                <w:color w:val="000000"/>
              </w:rPr>
              <w:t>-33%</w:t>
            </w:r>
          </w:p>
        </w:tc>
        <w:tc>
          <w:tcPr>
            <w:tcW w:w="2340" w:type="dxa"/>
            <w:gridSpan w:val="3"/>
            <w:tcBorders>
              <w:top w:val="nil"/>
              <w:left w:val="nil"/>
              <w:bottom w:val="nil"/>
              <w:right w:val="nil"/>
            </w:tcBorders>
            <w:shd w:val="clear" w:color="auto" w:fill="auto"/>
            <w:noWrap/>
            <w:vAlign w:val="bottom"/>
            <w:hideMark/>
          </w:tcPr>
          <w:p w14:paraId="3F1EC964" w14:textId="15C359DB" w:rsidR="00222567" w:rsidRPr="006A59CE" w:rsidRDefault="00222567" w:rsidP="00222567">
            <w:pPr>
              <w:jc w:val="center"/>
            </w:pPr>
            <w:r w:rsidRPr="006A59CE">
              <w:rPr>
                <w:color w:val="000000"/>
              </w:rPr>
              <w:t>61%</w:t>
            </w:r>
            <w:r>
              <w:rPr>
                <w:color w:val="000000"/>
              </w:rPr>
              <w:t>*</w:t>
            </w:r>
          </w:p>
        </w:tc>
        <w:tc>
          <w:tcPr>
            <w:tcW w:w="2160" w:type="dxa"/>
            <w:gridSpan w:val="2"/>
            <w:tcBorders>
              <w:top w:val="nil"/>
              <w:left w:val="nil"/>
              <w:bottom w:val="nil"/>
              <w:right w:val="nil"/>
            </w:tcBorders>
            <w:shd w:val="clear" w:color="auto" w:fill="auto"/>
            <w:noWrap/>
            <w:vAlign w:val="bottom"/>
            <w:hideMark/>
          </w:tcPr>
          <w:p w14:paraId="1B20D879" w14:textId="7277EBE3" w:rsidR="00222567" w:rsidRPr="006A59CE" w:rsidRDefault="00222567" w:rsidP="00222567">
            <w:pPr>
              <w:jc w:val="center"/>
            </w:pPr>
            <w:r w:rsidRPr="006A59CE">
              <w:rPr>
                <w:color w:val="000000"/>
              </w:rPr>
              <w:t>41%</w:t>
            </w:r>
          </w:p>
        </w:tc>
      </w:tr>
      <w:tr w:rsidR="00222567" w:rsidRPr="00B31A73" w14:paraId="21901BB4" w14:textId="77777777" w:rsidTr="00C108EF">
        <w:trPr>
          <w:trHeight w:val="260"/>
        </w:trPr>
        <w:tc>
          <w:tcPr>
            <w:tcW w:w="1540" w:type="dxa"/>
            <w:tcBorders>
              <w:top w:val="nil"/>
              <w:left w:val="nil"/>
              <w:bottom w:val="nil"/>
              <w:right w:val="nil"/>
            </w:tcBorders>
            <w:shd w:val="clear" w:color="auto" w:fill="auto"/>
            <w:noWrap/>
            <w:vAlign w:val="bottom"/>
            <w:hideMark/>
          </w:tcPr>
          <w:p w14:paraId="3E9D7C92" w14:textId="32C192DD" w:rsidR="00222567" w:rsidRPr="00222567" w:rsidRDefault="00222567" w:rsidP="00222567">
            <w:pPr>
              <w:jc w:val="center"/>
            </w:pPr>
            <w:r w:rsidRPr="00222567">
              <w:t>1886 - 1895</w:t>
            </w:r>
          </w:p>
        </w:tc>
        <w:tc>
          <w:tcPr>
            <w:tcW w:w="2330" w:type="dxa"/>
            <w:tcBorders>
              <w:top w:val="nil"/>
              <w:left w:val="nil"/>
              <w:bottom w:val="nil"/>
              <w:right w:val="nil"/>
            </w:tcBorders>
            <w:shd w:val="clear" w:color="auto" w:fill="auto"/>
            <w:noWrap/>
            <w:vAlign w:val="bottom"/>
            <w:hideMark/>
          </w:tcPr>
          <w:p w14:paraId="3AC0D424" w14:textId="5346A67F" w:rsidR="00222567" w:rsidRPr="006A59CE" w:rsidRDefault="00222567" w:rsidP="00222567">
            <w:pPr>
              <w:jc w:val="center"/>
            </w:pPr>
            <w:r w:rsidRPr="006A59CE">
              <w:rPr>
                <w:color w:val="000000"/>
              </w:rPr>
              <w:t>-6</w:t>
            </w:r>
            <w:r w:rsidR="00F15417">
              <w:rPr>
                <w:color w:val="000000"/>
              </w:rPr>
              <w:t>2</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12974086" w14:textId="4121C21B" w:rsidR="00222567" w:rsidRPr="006A59CE" w:rsidRDefault="00222567" w:rsidP="00222567">
            <w:pPr>
              <w:jc w:val="center"/>
            </w:pPr>
            <w:r w:rsidRPr="006A59CE">
              <w:rPr>
                <w:color w:val="000000"/>
              </w:rPr>
              <w:t>-29%</w:t>
            </w:r>
          </w:p>
        </w:tc>
        <w:tc>
          <w:tcPr>
            <w:tcW w:w="2340" w:type="dxa"/>
            <w:gridSpan w:val="3"/>
            <w:tcBorders>
              <w:top w:val="nil"/>
              <w:left w:val="nil"/>
              <w:bottom w:val="nil"/>
              <w:right w:val="nil"/>
            </w:tcBorders>
            <w:shd w:val="clear" w:color="auto" w:fill="auto"/>
            <w:noWrap/>
            <w:vAlign w:val="bottom"/>
            <w:hideMark/>
          </w:tcPr>
          <w:p w14:paraId="4F93072E" w14:textId="16EF084B" w:rsidR="00222567" w:rsidRPr="006A59CE" w:rsidRDefault="00F15417" w:rsidP="00222567">
            <w:pPr>
              <w:jc w:val="center"/>
            </w:pPr>
            <w:r>
              <w:rPr>
                <w:color w:val="000000"/>
              </w:rPr>
              <w:t>59</w:t>
            </w:r>
            <w:r w:rsidR="00222567" w:rsidRPr="006A59CE">
              <w:rPr>
                <w:color w:val="000000"/>
              </w:rPr>
              <w:t>%</w:t>
            </w:r>
            <w:r w:rsidR="00222567">
              <w:rPr>
                <w:color w:val="000000"/>
              </w:rPr>
              <w:t>*</w:t>
            </w:r>
          </w:p>
        </w:tc>
        <w:tc>
          <w:tcPr>
            <w:tcW w:w="2160" w:type="dxa"/>
            <w:gridSpan w:val="2"/>
            <w:tcBorders>
              <w:top w:val="nil"/>
              <w:left w:val="nil"/>
              <w:bottom w:val="nil"/>
              <w:right w:val="nil"/>
            </w:tcBorders>
            <w:shd w:val="clear" w:color="auto" w:fill="auto"/>
            <w:noWrap/>
            <w:vAlign w:val="bottom"/>
            <w:hideMark/>
          </w:tcPr>
          <w:p w14:paraId="568759E2" w14:textId="38D0C35B" w:rsidR="00222567" w:rsidRPr="006A59CE" w:rsidRDefault="00222567" w:rsidP="00222567">
            <w:pPr>
              <w:jc w:val="center"/>
            </w:pPr>
            <w:r w:rsidRPr="006A59CE">
              <w:rPr>
                <w:color w:val="000000"/>
              </w:rPr>
              <w:t>46%</w:t>
            </w:r>
          </w:p>
        </w:tc>
      </w:tr>
      <w:tr w:rsidR="00222567" w:rsidRPr="00B31A73" w14:paraId="7994FA35" w14:textId="77777777" w:rsidTr="00C108EF">
        <w:trPr>
          <w:trHeight w:val="260"/>
        </w:trPr>
        <w:tc>
          <w:tcPr>
            <w:tcW w:w="1540" w:type="dxa"/>
            <w:tcBorders>
              <w:top w:val="nil"/>
              <w:left w:val="nil"/>
              <w:bottom w:val="nil"/>
              <w:right w:val="nil"/>
            </w:tcBorders>
            <w:shd w:val="clear" w:color="auto" w:fill="auto"/>
            <w:noWrap/>
            <w:vAlign w:val="bottom"/>
            <w:hideMark/>
          </w:tcPr>
          <w:p w14:paraId="308391BF" w14:textId="7B7BE856" w:rsidR="00222567" w:rsidRPr="00222567" w:rsidRDefault="00222567" w:rsidP="00222567">
            <w:pPr>
              <w:jc w:val="center"/>
            </w:pPr>
            <w:r w:rsidRPr="00222567">
              <w:t>1887 - 1896</w:t>
            </w:r>
          </w:p>
        </w:tc>
        <w:tc>
          <w:tcPr>
            <w:tcW w:w="2330" w:type="dxa"/>
            <w:tcBorders>
              <w:top w:val="nil"/>
              <w:left w:val="nil"/>
              <w:bottom w:val="nil"/>
              <w:right w:val="nil"/>
            </w:tcBorders>
            <w:shd w:val="clear" w:color="auto" w:fill="auto"/>
            <w:noWrap/>
            <w:vAlign w:val="bottom"/>
            <w:hideMark/>
          </w:tcPr>
          <w:p w14:paraId="427B1F8F" w14:textId="16A65652" w:rsidR="00222567" w:rsidRPr="006A59CE" w:rsidRDefault="00222567" w:rsidP="00222567">
            <w:pPr>
              <w:jc w:val="center"/>
            </w:pPr>
            <w:r w:rsidRPr="006A59CE">
              <w:rPr>
                <w:color w:val="000000"/>
              </w:rPr>
              <w:t>-5</w:t>
            </w:r>
            <w:r w:rsidR="00F15417">
              <w:rPr>
                <w:color w:val="000000"/>
              </w:rPr>
              <w:t>9</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08767C42" w14:textId="1DB4792F" w:rsidR="00222567" w:rsidRPr="006A59CE" w:rsidRDefault="00222567" w:rsidP="00222567">
            <w:pPr>
              <w:jc w:val="center"/>
            </w:pPr>
            <w:r w:rsidRPr="006A59CE">
              <w:rPr>
                <w:color w:val="000000"/>
              </w:rPr>
              <w:t>-50%</w:t>
            </w:r>
            <w:r>
              <w:rPr>
                <w:color w:val="000000"/>
              </w:rPr>
              <w:t xml:space="preserve">  </w:t>
            </w:r>
          </w:p>
        </w:tc>
        <w:tc>
          <w:tcPr>
            <w:tcW w:w="2340" w:type="dxa"/>
            <w:gridSpan w:val="3"/>
            <w:tcBorders>
              <w:top w:val="nil"/>
              <w:left w:val="nil"/>
              <w:bottom w:val="nil"/>
              <w:right w:val="nil"/>
            </w:tcBorders>
            <w:shd w:val="clear" w:color="auto" w:fill="auto"/>
            <w:noWrap/>
            <w:vAlign w:val="bottom"/>
            <w:hideMark/>
          </w:tcPr>
          <w:p w14:paraId="44899225" w14:textId="74E02084" w:rsidR="00222567" w:rsidRPr="006A59CE" w:rsidRDefault="00222567" w:rsidP="00222567">
            <w:pPr>
              <w:jc w:val="center"/>
            </w:pPr>
            <w:r w:rsidRPr="006A59CE">
              <w:rPr>
                <w:color w:val="000000"/>
              </w:rPr>
              <w:t>55%</w:t>
            </w:r>
          </w:p>
        </w:tc>
        <w:tc>
          <w:tcPr>
            <w:tcW w:w="2160" w:type="dxa"/>
            <w:gridSpan w:val="2"/>
            <w:tcBorders>
              <w:top w:val="nil"/>
              <w:left w:val="nil"/>
              <w:bottom w:val="nil"/>
              <w:right w:val="nil"/>
            </w:tcBorders>
            <w:shd w:val="clear" w:color="auto" w:fill="auto"/>
            <w:noWrap/>
            <w:vAlign w:val="bottom"/>
            <w:hideMark/>
          </w:tcPr>
          <w:p w14:paraId="6CB868AF" w14:textId="70726A9F" w:rsidR="00222567" w:rsidRPr="006A59CE" w:rsidRDefault="00222567" w:rsidP="00222567">
            <w:pPr>
              <w:jc w:val="center"/>
            </w:pPr>
            <w:r w:rsidRPr="006A59CE">
              <w:rPr>
                <w:color w:val="000000"/>
              </w:rPr>
              <w:t>53%</w:t>
            </w:r>
          </w:p>
        </w:tc>
      </w:tr>
      <w:tr w:rsidR="00222567" w:rsidRPr="00B31A73" w14:paraId="28E4EAA2" w14:textId="77777777" w:rsidTr="00C108EF">
        <w:trPr>
          <w:trHeight w:val="260"/>
        </w:trPr>
        <w:tc>
          <w:tcPr>
            <w:tcW w:w="1540" w:type="dxa"/>
            <w:tcBorders>
              <w:top w:val="nil"/>
              <w:left w:val="nil"/>
              <w:bottom w:val="nil"/>
              <w:right w:val="nil"/>
            </w:tcBorders>
            <w:shd w:val="clear" w:color="auto" w:fill="auto"/>
            <w:noWrap/>
            <w:vAlign w:val="bottom"/>
            <w:hideMark/>
          </w:tcPr>
          <w:p w14:paraId="634FAE2D" w14:textId="5169AA81" w:rsidR="00222567" w:rsidRPr="00222567" w:rsidRDefault="00222567" w:rsidP="00222567">
            <w:pPr>
              <w:jc w:val="center"/>
            </w:pPr>
            <w:r w:rsidRPr="00222567">
              <w:t>1888 - 1897</w:t>
            </w:r>
          </w:p>
        </w:tc>
        <w:tc>
          <w:tcPr>
            <w:tcW w:w="2330" w:type="dxa"/>
            <w:tcBorders>
              <w:top w:val="nil"/>
              <w:left w:val="nil"/>
              <w:bottom w:val="nil"/>
              <w:right w:val="nil"/>
            </w:tcBorders>
            <w:shd w:val="clear" w:color="auto" w:fill="auto"/>
            <w:noWrap/>
            <w:vAlign w:val="bottom"/>
            <w:hideMark/>
          </w:tcPr>
          <w:p w14:paraId="02D9D5FC" w14:textId="6CCA0397" w:rsidR="00222567" w:rsidRPr="006A59CE" w:rsidRDefault="00222567" w:rsidP="00222567">
            <w:pPr>
              <w:jc w:val="center"/>
            </w:pPr>
            <w:r w:rsidRPr="006A59CE">
              <w:rPr>
                <w:color w:val="000000"/>
              </w:rPr>
              <w:t>-5</w:t>
            </w:r>
            <w:r w:rsidR="00F15417">
              <w:rPr>
                <w:color w:val="000000"/>
              </w:rPr>
              <w:t>8</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79F2CBA8" w14:textId="7246AD02" w:rsidR="00222567" w:rsidRPr="006A59CE" w:rsidRDefault="00222567" w:rsidP="00222567">
            <w:pPr>
              <w:jc w:val="center"/>
            </w:pPr>
            <w:r w:rsidRPr="006A59CE">
              <w:rPr>
                <w:color w:val="000000"/>
              </w:rPr>
              <w:t>-60%</w:t>
            </w:r>
            <w:r>
              <w:rPr>
                <w:color w:val="000000"/>
              </w:rPr>
              <w:t>*</w:t>
            </w:r>
          </w:p>
        </w:tc>
        <w:tc>
          <w:tcPr>
            <w:tcW w:w="2340" w:type="dxa"/>
            <w:gridSpan w:val="3"/>
            <w:tcBorders>
              <w:top w:val="nil"/>
              <w:left w:val="nil"/>
              <w:bottom w:val="nil"/>
              <w:right w:val="nil"/>
            </w:tcBorders>
            <w:shd w:val="clear" w:color="auto" w:fill="auto"/>
            <w:noWrap/>
            <w:vAlign w:val="bottom"/>
            <w:hideMark/>
          </w:tcPr>
          <w:p w14:paraId="727BE531" w14:textId="73E7992D" w:rsidR="00222567" w:rsidRPr="006A59CE" w:rsidRDefault="00222567" w:rsidP="00222567">
            <w:pPr>
              <w:jc w:val="center"/>
            </w:pPr>
            <w:r w:rsidRPr="006A59CE">
              <w:rPr>
                <w:color w:val="000000"/>
              </w:rPr>
              <w:t>6</w:t>
            </w:r>
            <w:r w:rsidR="00F15417">
              <w:rPr>
                <w:color w:val="000000"/>
              </w:rPr>
              <w:t>0</w:t>
            </w:r>
            <w:r w:rsidRPr="006A59CE">
              <w:rPr>
                <w:color w:val="000000"/>
              </w:rPr>
              <w:t>%</w:t>
            </w:r>
            <w:r>
              <w:rPr>
                <w:color w:val="000000"/>
              </w:rPr>
              <w:t>*</w:t>
            </w:r>
          </w:p>
        </w:tc>
        <w:tc>
          <w:tcPr>
            <w:tcW w:w="2160" w:type="dxa"/>
            <w:gridSpan w:val="2"/>
            <w:tcBorders>
              <w:top w:val="nil"/>
              <w:left w:val="nil"/>
              <w:bottom w:val="nil"/>
              <w:right w:val="nil"/>
            </w:tcBorders>
            <w:shd w:val="clear" w:color="auto" w:fill="auto"/>
            <w:noWrap/>
            <w:vAlign w:val="bottom"/>
            <w:hideMark/>
          </w:tcPr>
          <w:p w14:paraId="16146EA2" w14:textId="0AB68692" w:rsidR="00222567" w:rsidRPr="006A59CE" w:rsidRDefault="00222567" w:rsidP="00222567">
            <w:pPr>
              <w:jc w:val="center"/>
            </w:pPr>
            <w:r w:rsidRPr="006A59CE">
              <w:rPr>
                <w:color w:val="000000"/>
              </w:rPr>
              <w:t>59%</w:t>
            </w:r>
            <w:r>
              <w:rPr>
                <w:color w:val="000000"/>
              </w:rPr>
              <w:t>*</w:t>
            </w:r>
          </w:p>
        </w:tc>
      </w:tr>
      <w:tr w:rsidR="00222567" w:rsidRPr="00B31A73" w14:paraId="723A04E9" w14:textId="77777777" w:rsidTr="00C108EF">
        <w:trPr>
          <w:trHeight w:val="260"/>
        </w:trPr>
        <w:tc>
          <w:tcPr>
            <w:tcW w:w="1540" w:type="dxa"/>
            <w:tcBorders>
              <w:top w:val="nil"/>
              <w:left w:val="nil"/>
              <w:bottom w:val="nil"/>
              <w:right w:val="nil"/>
            </w:tcBorders>
            <w:shd w:val="clear" w:color="auto" w:fill="auto"/>
            <w:noWrap/>
            <w:vAlign w:val="bottom"/>
            <w:hideMark/>
          </w:tcPr>
          <w:p w14:paraId="710A2203" w14:textId="008CA1EC" w:rsidR="00222567" w:rsidRPr="00222567" w:rsidRDefault="00222567" w:rsidP="00222567">
            <w:pPr>
              <w:jc w:val="center"/>
            </w:pPr>
            <w:r w:rsidRPr="00222567">
              <w:t>1889 - 1898</w:t>
            </w:r>
          </w:p>
        </w:tc>
        <w:tc>
          <w:tcPr>
            <w:tcW w:w="2330" w:type="dxa"/>
            <w:tcBorders>
              <w:top w:val="nil"/>
              <w:left w:val="nil"/>
              <w:bottom w:val="nil"/>
              <w:right w:val="nil"/>
            </w:tcBorders>
            <w:shd w:val="clear" w:color="auto" w:fill="auto"/>
            <w:noWrap/>
            <w:vAlign w:val="bottom"/>
            <w:hideMark/>
          </w:tcPr>
          <w:p w14:paraId="2CC7D323" w14:textId="5B33359B" w:rsidR="00222567" w:rsidRPr="006A59CE" w:rsidRDefault="00222567" w:rsidP="00222567">
            <w:pPr>
              <w:jc w:val="center"/>
            </w:pPr>
            <w:r w:rsidRPr="006A59CE">
              <w:rPr>
                <w:color w:val="000000"/>
              </w:rPr>
              <w:t>-76%</w:t>
            </w:r>
            <w:r>
              <w:rPr>
                <w:color w:val="000000"/>
              </w:rPr>
              <w:t>**</w:t>
            </w:r>
          </w:p>
        </w:tc>
        <w:tc>
          <w:tcPr>
            <w:tcW w:w="2340" w:type="dxa"/>
            <w:gridSpan w:val="2"/>
            <w:tcBorders>
              <w:top w:val="nil"/>
              <w:left w:val="nil"/>
              <w:bottom w:val="nil"/>
              <w:right w:val="nil"/>
            </w:tcBorders>
            <w:shd w:val="clear" w:color="auto" w:fill="auto"/>
            <w:noWrap/>
            <w:vAlign w:val="bottom"/>
            <w:hideMark/>
          </w:tcPr>
          <w:p w14:paraId="08FBBDE9" w14:textId="093B5760" w:rsidR="00222567" w:rsidRPr="006A59CE" w:rsidRDefault="00222567" w:rsidP="00222567">
            <w:pPr>
              <w:jc w:val="center"/>
            </w:pPr>
            <w:r w:rsidRPr="006A59CE">
              <w:rPr>
                <w:color w:val="000000"/>
              </w:rPr>
              <w:t>-78%</w:t>
            </w:r>
            <w:r>
              <w:rPr>
                <w:color w:val="000000"/>
              </w:rPr>
              <w:t>**</w:t>
            </w:r>
          </w:p>
        </w:tc>
        <w:tc>
          <w:tcPr>
            <w:tcW w:w="2340" w:type="dxa"/>
            <w:gridSpan w:val="3"/>
            <w:tcBorders>
              <w:top w:val="nil"/>
              <w:left w:val="nil"/>
              <w:bottom w:val="nil"/>
              <w:right w:val="nil"/>
            </w:tcBorders>
            <w:shd w:val="clear" w:color="auto" w:fill="auto"/>
            <w:noWrap/>
            <w:vAlign w:val="bottom"/>
            <w:hideMark/>
          </w:tcPr>
          <w:p w14:paraId="3CB13F1A" w14:textId="6FF7A52F" w:rsidR="00222567" w:rsidRPr="006A59CE" w:rsidRDefault="00222567" w:rsidP="00222567">
            <w:pPr>
              <w:jc w:val="center"/>
            </w:pPr>
            <w:r w:rsidRPr="006A59CE">
              <w:rPr>
                <w:color w:val="000000"/>
              </w:rPr>
              <w:t>82%</w:t>
            </w:r>
            <w:r>
              <w:rPr>
                <w:color w:val="000000"/>
              </w:rPr>
              <w:t>**</w:t>
            </w:r>
          </w:p>
        </w:tc>
        <w:tc>
          <w:tcPr>
            <w:tcW w:w="2160" w:type="dxa"/>
            <w:gridSpan w:val="2"/>
            <w:tcBorders>
              <w:top w:val="nil"/>
              <w:left w:val="nil"/>
              <w:bottom w:val="nil"/>
              <w:right w:val="nil"/>
            </w:tcBorders>
            <w:shd w:val="clear" w:color="auto" w:fill="auto"/>
            <w:noWrap/>
            <w:vAlign w:val="bottom"/>
            <w:hideMark/>
          </w:tcPr>
          <w:p w14:paraId="76CEAFC5" w14:textId="42F5908B" w:rsidR="00222567" w:rsidRPr="006A59CE" w:rsidRDefault="00222567" w:rsidP="00222567">
            <w:pPr>
              <w:jc w:val="center"/>
            </w:pPr>
            <w:r w:rsidRPr="006A59CE">
              <w:rPr>
                <w:color w:val="000000"/>
              </w:rPr>
              <w:t>80%</w:t>
            </w:r>
            <w:r>
              <w:rPr>
                <w:color w:val="000000"/>
              </w:rPr>
              <w:t>**</w:t>
            </w:r>
          </w:p>
        </w:tc>
      </w:tr>
      <w:tr w:rsidR="00222567" w:rsidRPr="00B31A73" w14:paraId="10EAF7BD" w14:textId="77777777" w:rsidTr="00C108EF">
        <w:trPr>
          <w:trHeight w:val="260"/>
        </w:trPr>
        <w:tc>
          <w:tcPr>
            <w:tcW w:w="1540" w:type="dxa"/>
            <w:tcBorders>
              <w:top w:val="nil"/>
              <w:left w:val="nil"/>
              <w:bottom w:val="nil"/>
              <w:right w:val="nil"/>
            </w:tcBorders>
            <w:shd w:val="clear" w:color="auto" w:fill="auto"/>
            <w:noWrap/>
            <w:vAlign w:val="bottom"/>
            <w:hideMark/>
          </w:tcPr>
          <w:p w14:paraId="36DB51A9" w14:textId="7C83F45E" w:rsidR="00222567" w:rsidRPr="00222567" w:rsidRDefault="00222567" w:rsidP="00222567">
            <w:pPr>
              <w:jc w:val="center"/>
            </w:pPr>
            <w:r w:rsidRPr="00222567">
              <w:t>1890 - 1899</w:t>
            </w:r>
          </w:p>
        </w:tc>
        <w:tc>
          <w:tcPr>
            <w:tcW w:w="2330" w:type="dxa"/>
            <w:tcBorders>
              <w:top w:val="nil"/>
              <w:left w:val="nil"/>
              <w:bottom w:val="nil"/>
              <w:right w:val="nil"/>
            </w:tcBorders>
            <w:shd w:val="clear" w:color="auto" w:fill="auto"/>
            <w:noWrap/>
            <w:vAlign w:val="bottom"/>
            <w:hideMark/>
          </w:tcPr>
          <w:p w14:paraId="16D89358" w14:textId="0C806BC9" w:rsidR="00222567" w:rsidRPr="006A59CE" w:rsidRDefault="00222567" w:rsidP="00222567">
            <w:pPr>
              <w:jc w:val="center"/>
            </w:pPr>
            <w:r w:rsidRPr="006A59CE">
              <w:rPr>
                <w:color w:val="000000"/>
              </w:rPr>
              <w:t>-6</w:t>
            </w:r>
            <w:r w:rsidR="00F15417">
              <w:rPr>
                <w:color w:val="000000"/>
              </w:rPr>
              <w:t>6</w:t>
            </w:r>
            <w:r w:rsidRPr="006A59CE">
              <w:rPr>
                <w:color w:val="000000"/>
              </w:rPr>
              <w:t>%</w:t>
            </w:r>
            <w:r>
              <w:rPr>
                <w:color w:val="000000"/>
              </w:rPr>
              <w:t>*</w:t>
            </w:r>
          </w:p>
        </w:tc>
        <w:tc>
          <w:tcPr>
            <w:tcW w:w="2340" w:type="dxa"/>
            <w:gridSpan w:val="2"/>
            <w:tcBorders>
              <w:top w:val="nil"/>
              <w:left w:val="nil"/>
              <w:bottom w:val="nil"/>
              <w:right w:val="nil"/>
            </w:tcBorders>
            <w:shd w:val="clear" w:color="auto" w:fill="auto"/>
            <w:noWrap/>
            <w:vAlign w:val="bottom"/>
            <w:hideMark/>
          </w:tcPr>
          <w:p w14:paraId="0D994D5F" w14:textId="396F9887" w:rsidR="00222567" w:rsidRPr="006A59CE" w:rsidRDefault="00222567" w:rsidP="00222567">
            <w:pPr>
              <w:jc w:val="center"/>
            </w:pPr>
            <w:r w:rsidRPr="006A59CE">
              <w:rPr>
                <w:color w:val="000000"/>
              </w:rPr>
              <w:t>-66%</w:t>
            </w:r>
            <w:r>
              <w:rPr>
                <w:color w:val="000000"/>
              </w:rPr>
              <w:t>*</w:t>
            </w:r>
          </w:p>
        </w:tc>
        <w:tc>
          <w:tcPr>
            <w:tcW w:w="2340" w:type="dxa"/>
            <w:gridSpan w:val="3"/>
            <w:tcBorders>
              <w:top w:val="nil"/>
              <w:left w:val="nil"/>
              <w:bottom w:val="nil"/>
              <w:right w:val="nil"/>
            </w:tcBorders>
            <w:shd w:val="clear" w:color="auto" w:fill="auto"/>
            <w:noWrap/>
            <w:vAlign w:val="bottom"/>
            <w:hideMark/>
          </w:tcPr>
          <w:p w14:paraId="4D39E40B" w14:textId="6EFE2CF4" w:rsidR="00222567" w:rsidRPr="006A59CE" w:rsidRDefault="00222567" w:rsidP="00222567">
            <w:pPr>
              <w:jc w:val="center"/>
            </w:pPr>
            <w:r w:rsidRPr="006A59CE">
              <w:rPr>
                <w:color w:val="000000"/>
              </w:rPr>
              <w:t>71%</w:t>
            </w:r>
            <w:r>
              <w:rPr>
                <w:color w:val="000000"/>
              </w:rPr>
              <w:t>**</w:t>
            </w:r>
          </w:p>
        </w:tc>
        <w:tc>
          <w:tcPr>
            <w:tcW w:w="2160" w:type="dxa"/>
            <w:gridSpan w:val="2"/>
            <w:tcBorders>
              <w:top w:val="nil"/>
              <w:left w:val="nil"/>
              <w:bottom w:val="nil"/>
              <w:right w:val="nil"/>
            </w:tcBorders>
            <w:shd w:val="clear" w:color="auto" w:fill="auto"/>
            <w:noWrap/>
            <w:vAlign w:val="bottom"/>
            <w:hideMark/>
          </w:tcPr>
          <w:p w14:paraId="40EE4C1E" w14:textId="77812D74" w:rsidR="00222567" w:rsidRPr="006A59CE" w:rsidRDefault="00222567" w:rsidP="00222567">
            <w:pPr>
              <w:jc w:val="center"/>
            </w:pPr>
            <w:r w:rsidRPr="006A59CE">
              <w:rPr>
                <w:color w:val="000000"/>
              </w:rPr>
              <w:t>69%</w:t>
            </w:r>
            <w:r>
              <w:rPr>
                <w:color w:val="000000"/>
              </w:rPr>
              <w:t>**</w:t>
            </w:r>
          </w:p>
        </w:tc>
      </w:tr>
      <w:tr w:rsidR="00DA35E2" w:rsidRPr="00B31A73" w14:paraId="370D84E2" w14:textId="77777777" w:rsidTr="00C108EF">
        <w:trPr>
          <w:trHeight w:val="260"/>
        </w:trPr>
        <w:tc>
          <w:tcPr>
            <w:tcW w:w="1540" w:type="dxa"/>
            <w:tcBorders>
              <w:top w:val="nil"/>
              <w:left w:val="nil"/>
              <w:bottom w:val="nil"/>
              <w:right w:val="nil"/>
            </w:tcBorders>
            <w:shd w:val="clear" w:color="auto" w:fill="auto"/>
            <w:noWrap/>
            <w:vAlign w:val="bottom"/>
          </w:tcPr>
          <w:p w14:paraId="212EC329" w14:textId="77777777" w:rsidR="00DA35E2" w:rsidRPr="00B31A73" w:rsidRDefault="00DA35E2" w:rsidP="00DA35E2">
            <w:pPr>
              <w:jc w:val="center"/>
            </w:pPr>
          </w:p>
        </w:tc>
        <w:tc>
          <w:tcPr>
            <w:tcW w:w="2330" w:type="dxa"/>
            <w:tcBorders>
              <w:top w:val="nil"/>
              <w:left w:val="nil"/>
              <w:bottom w:val="nil"/>
              <w:right w:val="nil"/>
            </w:tcBorders>
            <w:shd w:val="clear" w:color="auto" w:fill="auto"/>
            <w:noWrap/>
            <w:vAlign w:val="bottom"/>
          </w:tcPr>
          <w:p w14:paraId="1A01C9E6" w14:textId="77777777" w:rsidR="00DA35E2" w:rsidRPr="00B31A73" w:rsidRDefault="00DA35E2" w:rsidP="00DA35E2">
            <w:pPr>
              <w:jc w:val="center"/>
            </w:pPr>
          </w:p>
        </w:tc>
        <w:tc>
          <w:tcPr>
            <w:tcW w:w="2340" w:type="dxa"/>
            <w:gridSpan w:val="2"/>
            <w:tcBorders>
              <w:top w:val="nil"/>
              <w:left w:val="nil"/>
              <w:bottom w:val="nil"/>
              <w:right w:val="nil"/>
            </w:tcBorders>
            <w:shd w:val="clear" w:color="auto" w:fill="auto"/>
            <w:noWrap/>
            <w:vAlign w:val="bottom"/>
          </w:tcPr>
          <w:p w14:paraId="51AB3367" w14:textId="77777777" w:rsidR="00DA35E2" w:rsidRPr="00B31A73" w:rsidRDefault="00DA35E2" w:rsidP="00DA35E2">
            <w:pPr>
              <w:jc w:val="center"/>
            </w:pPr>
          </w:p>
        </w:tc>
        <w:tc>
          <w:tcPr>
            <w:tcW w:w="2340" w:type="dxa"/>
            <w:gridSpan w:val="3"/>
            <w:tcBorders>
              <w:top w:val="nil"/>
              <w:left w:val="nil"/>
              <w:bottom w:val="nil"/>
              <w:right w:val="nil"/>
            </w:tcBorders>
            <w:shd w:val="clear" w:color="auto" w:fill="auto"/>
            <w:noWrap/>
            <w:vAlign w:val="bottom"/>
          </w:tcPr>
          <w:p w14:paraId="2FDFCEC2" w14:textId="77777777" w:rsidR="00DA35E2" w:rsidRPr="00B31A73" w:rsidRDefault="00DA35E2" w:rsidP="00DA35E2">
            <w:pPr>
              <w:jc w:val="center"/>
            </w:pPr>
          </w:p>
        </w:tc>
        <w:tc>
          <w:tcPr>
            <w:tcW w:w="2160" w:type="dxa"/>
            <w:gridSpan w:val="2"/>
            <w:tcBorders>
              <w:top w:val="nil"/>
              <w:left w:val="nil"/>
              <w:bottom w:val="nil"/>
              <w:right w:val="nil"/>
            </w:tcBorders>
            <w:shd w:val="clear" w:color="auto" w:fill="auto"/>
            <w:noWrap/>
            <w:vAlign w:val="bottom"/>
          </w:tcPr>
          <w:p w14:paraId="380BC83C" w14:textId="77777777" w:rsidR="00DA35E2" w:rsidRPr="00B31A73" w:rsidRDefault="00DA35E2" w:rsidP="00DA35E2">
            <w:pPr>
              <w:jc w:val="center"/>
            </w:pPr>
          </w:p>
        </w:tc>
      </w:tr>
      <w:tr w:rsidR="00DA35E2" w:rsidRPr="00B31A73" w14:paraId="335EFFFA"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1CAF98D6" w14:textId="77777777" w:rsidR="00DA35E2" w:rsidRPr="00B31A73" w:rsidRDefault="00DA35E2" w:rsidP="00DA35E2"/>
        </w:tc>
        <w:tc>
          <w:tcPr>
            <w:tcW w:w="9080" w:type="dxa"/>
            <w:gridSpan w:val="7"/>
            <w:tcBorders>
              <w:top w:val="nil"/>
              <w:left w:val="nil"/>
              <w:bottom w:val="single" w:sz="4" w:space="0" w:color="auto"/>
              <w:right w:val="nil"/>
            </w:tcBorders>
            <w:shd w:val="clear" w:color="auto" w:fill="auto"/>
            <w:noWrap/>
            <w:vAlign w:val="bottom"/>
            <w:hideMark/>
          </w:tcPr>
          <w:p w14:paraId="17870F34" w14:textId="60F813C1" w:rsidR="00DA35E2" w:rsidRPr="00B31A73" w:rsidRDefault="00DA35E2" w:rsidP="00DA35E2">
            <w:pPr>
              <w:jc w:val="center"/>
            </w:pPr>
            <w:r w:rsidRPr="00B31A73">
              <w:t>Correlation (sets of 17 independent 8-year observations)</w:t>
            </w:r>
          </w:p>
        </w:tc>
      </w:tr>
      <w:tr w:rsidR="00156137" w:rsidRPr="00B31A73" w14:paraId="62D9589E"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5E8EFB9A" w14:textId="77777777" w:rsidR="00156137" w:rsidRPr="00B31A73" w:rsidRDefault="00156137" w:rsidP="00156137">
            <w:pPr>
              <w:jc w:val="center"/>
            </w:pPr>
            <w:r w:rsidRPr="00B31A73">
              <w:t>1881 - 1888</w:t>
            </w:r>
          </w:p>
        </w:tc>
        <w:tc>
          <w:tcPr>
            <w:tcW w:w="2420" w:type="dxa"/>
            <w:gridSpan w:val="2"/>
            <w:tcBorders>
              <w:top w:val="nil"/>
              <w:left w:val="nil"/>
              <w:bottom w:val="nil"/>
              <w:right w:val="nil"/>
            </w:tcBorders>
            <w:shd w:val="clear" w:color="auto" w:fill="auto"/>
            <w:noWrap/>
            <w:vAlign w:val="bottom"/>
            <w:hideMark/>
          </w:tcPr>
          <w:p w14:paraId="2E571E5C" w14:textId="4CDE8679" w:rsidR="00156137" w:rsidRPr="00156137" w:rsidRDefault="00156137" w:rsidP="00156137">
            <w:pPr>
              <w:jc w:val="center"/>
            </w:pPr>
            <w:r w:rsidRPr="00156137">
              <w:rPr>
                <w:color w:val="000000"/>
              </w:rPr>
              <w:t>-66%</w:t>
            </w:r>
            <w:r w:rsidR="006D7420">
              <w:rPr>
                <w:color w:val="000000"/>
              </w:rPr>
              <w:t>**</w:t>
            </w:r>
          </w:p>
        </w:tc>
        <w:tc>
          <w:tcPr>
            <w:tcW w:w="2250" w:type="dxa"/>
            <w:tcBorders>
              <w:top w:val="nil"/>
              <w:left w:val="nil"/>
              <w:bottom w:val="nil"/>
              <w:right w:val="nil"/>
            </w:tcBorders>
            <w:shd w:val="clear" w:color="auto" w:fill="auto"/>
            <w:noWrap/>
            <w:vAlign w:val="bottom"/>
            <w:hideMark/>
          </w:tcPr>
          <w:p w14:paraId="5F3479F9" w14:textId="2DB558E0" w:rsidR="00156137" w:rsidRPr="00156137" w:rsidRDefault="00156137" w:rsidP="00156137">
            <w:pPr>
              <w:jc w:val="center"/>
            </w:pPr>
            <w:r w:rsidRPr="00156137">
              <w:rPr>
                <w:color w:val="000000"/>
              </w:rPr>
              <w:t>-72%</w:t>
            </w:r>
            <w:r w:rsidR="006D7420">
              <w:rPr>
                <w:color w:val="000000"/>
              </w:rPr>
              <w:t>**</w:t>
            </w:r>
          </w:p>
        </w:tc>
        <w:tc>
          <w:tcPr>
            <w:tcW w:w="2070" w:type="dxa"/>
            <w:tcBorders>
              <w:top w:val="nil"/>
              <w:left w:val="nil"/>
              <w:bottom w:val="nil"/>
              <w:right w:val="nil"/>
            </w:tcBorders>
            <w:shd w:val="clear" w:color="auto" w:fill="auto"/>
            <w:noWrap/>
            <w:vAlign w:val="bottom"/>
            <w:hideMark/>
          </w:tcPr>
          <w:p w14:paraId="7B383B64" w14:textId="4AE37586" w:rsidR="00156137" w:rsidRPr="00156137" w:rsidRDefault="00156137" w:rsidP="00156137">
            <w:pPr>
              <w:jc w:val="center"/>
            </w:pPr>
            <w:r w:rsidRPr="00156137">
              <w:rPr>
                <w:color w:val="000000"/>
              </w:rPr>
              <w:t>71%</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374B67C9" w14:textId="605A1C5B" w:rsidR="00156137" w:rsidRPr="00156137" w:rsidRDefault="00156137" w:rsidP="00156137">
            <w:pPr>
              <w:jc w:val="center"/>
            </w:pPr>
            <w:r w:rsidRPr="00156137">
              <w:rPr>
                <w:color w:val="000000"/>
              </w:rPr>
              <w:t>74%</w:t>
            </w:r>
            <w:r w:rsidR="006D7420">
              <w:rPr>
                <w:color w:val="000000"/>
              </w:rPr>
              <w:t>**</w:t>
            </w:r>
          </w:p>
        </w:tc>
      </w:tr>
      <w:tr w:rsidR="00156137" w:rsidRPr="00B31A73" w14:paraId="0753F191"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472993FE" w14:textId="77777777" w:rsidR="00156137" w:rsidRPr="00B31A73" w:rsidRDefault="00156137" w:rsidP="00156137">
            <w:pPr>
              <w:jc w:val="center"/>
            </w:pPr>
            <w:r w:rsidRPr="00B31A73">
              <w:t>1882 - 1889</w:t>
            </w:r>
          </w:p>
        </w:tc>
        <w:tc>
          <w:tcPr>
            <w:tcW w:w="2420" w:type="dxa"/>
            <w:gridSpan w:val="2"/>
            <w:tcBorders>
              <w:top w:val="nil"/>
              <w:left w:val="nil"/>
              <w:bottom w:val="nil"/>
              <w:right w:val="nil"/>
            </w:tcBorders>
            <w:shd w:val="clear" w:color="auto" w:fill="auto"/>
            <w:noWrap/>
            <w:vAlign w:val="bottom"/>
            <w:hideMark/>
          </w:tcPr>
          <w:p w14:paraId="211F5503" w14:textId="7BFEB02A" w:rsidR="00156137" w:rsidRPr="00156137" w:rsidRDefault="00156137" w:rsidP="00156137">
            <w:pPr>
              <w:jc w:val="center"/>
            </w:pPr>
            <w:r w:rsidRPr="00156137">
              <w:rPr>
                <w:color w:val="000000"/>
              </w:rPr>
              <w:t>-56%</w:t>
            </w:r>
            <w:r w:rsidR="006D7420">
              <w:rPr>
                <w:color w:val="000000"/>
              </w:rPr>
              <w:t>*</w:t>
            </w:r>
          </w:p>
        </w:tc>
        <w:tc>
          <w:tcPr>
            <w:tcW w:w="2250" w:type="dxa"/>
            <w:tcBorders>
              <w:top w:val="nil"/>
              <w:left w:val="nil"/>
              <w:bottom w:val="nil"/>
              <w:right w:val="nil"/>
            </w:tcBorders>
            <w:shd w:val="clear" w:color="auto" w:fill="auto"/>
            <w:noWrap/>
            <w:vAlign w:val="bottom"/>
            <w:hideMark/>
          </w:tcPr>
          <w:p w14:paraId="4A0D107B" w14:textId="74B924AE" w:rsidR="00156137" w:rsidRPr="00156137" w:rsidRDefault="00156137" w:rsidP="00156137">
            <w:pPr>
              <w:jc w:val="center"/>
            </w:pPr>
            <w:r w:rsidRPr="00156137">
              <w:rPr>
                <w:color w:val="000000"/>
              </w:rPr>
              <w:t>-50%</w:t>
            </w:r>
            <w:r w:rsidR="006D7420">
              <w:rPr>
                <w:color w:val="000000"/>
              </w:rPr>
              <w:t>*</w:t>
            </w:r>
          </w:p>
        </w:tc>
        <w:tc>
          <w:tcPr>
            <w:tcW w:w="2070" w:type="dxa"/>
            <w:tcBorders>
              <w:top w:val="nil"/>
              <w:left w:val="nil"/>
              <w:bottom w:val="nil"/>
              <w:right w:val="nil"/>
            </w:tcBorders>
            <w:shd w:val="clear" w:color="auto" w:fill="auto"/>
            <w:noWrap/>
            <w:vAlign w:val="bottom"/>
            <w:hideMark/>
          </w:tcPr>
          <w:p w14:paraId="723E27F5" w14:textId="7DC116ED" w:rsidR="00156137" w:rsidRPr="00156137" w:rsidRDefault="00156137" w:rsidP="00156137">
            <w:pPr>
              <w:jc w:val="center"/>
            </w:pPr>
            <w:r w:rsidRPr="00156137">
              <w:rPr>
                <w:color w:val="000000"/>
              </w:rPr>
              <w:t>56%</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558FC3B6" w14:textId="73997BB4" w:rsidR="00156137" w:rsidRPr="00156137" w:rsidRDefault="00156137" w:rsidP="00156137">
            <w:pPr>
              <w:jc w:val="center"/>
            </w:pPr>
            <w:r w:rsidRPr="00156137">
              <w:rPr>
                <w:color w:val="000000"/>
              </w:rPr>
              <w:t>61%</w:t>
            </w:r>
            <w:r w:rsidR="006D7420">
              <w:rPr>
                <w:color w:val="000000"/>
              </w:rPr>
              <w:t>*</w:t>
            </w:r>
          </w:p>
        </w:tc>
      </w:tr>
      <w:tr w:rsidR="00156137" w:rsidRPr="00B31A73" w14:paraId="07202B0E"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3A66EFFD" w14:textId="77777777" w:rsidR="00156137" w:rsidRPr="00B31A73" w:rsidRDefault="00156137" w:rsidP="00156137">
            <w:pPr>
              <w:jc w:val="center"/>
            </w:pPr>
            <w:r w:rsidRPr="00B31A73">
              <w:t>1883 - 1890</w:t>
            </w:r>
          </w:p>
        </w:tc>
        <w:tc>
          <w:tcPr>
            <w:tcW w:w="2420" w:type="dxa"/>
            <w:gridSpan w:val="2"/>
            <w:tcBorders>
              <w:top w:val="nil"/>
              <w:left w:val="nil"/>
              <w:bottom w:val="nil"/>
              <w:right w:val="nil"/>
            </w:tcBorders>
            <w:shd w:val="clear" w:color="auto" w:fill="auto"/>
            <w:noWrap/>
            <w:vAlign w:val="bottom"/>
            <w:hideMark/>
          </w:tcPr>
          <w:p w14:paraId="1A118C1D" w14:textId="537DA705" w:rsidR="00156137" w:rsidRPr="00156137" w:rsidRDefault="00156137" w:rsidP="00156137">
            <w:pPr>
              <w:jc w:val="center"/>
            </w:pPr>
            <w:r w:rsidRPr="00156137">
              <w:rPr>
                <w:color w:val="000000"/>
              </w:rPr>
              <w:t>-57%</w:t>
            </w:r>
            <w:r w:rsidR="006D7420">
              <w:rPr>
                <w:color w:val="000000"/>
              </w:rPr>
              <w:t>*</w:t>
            </w:r>
          </w:p>
        </w:tc>
        <w:tc>
          <w:tcPr>
            <w:tcW w:w="2250" w:type="dxa"/>
            <w:tcBorders>
              <w:top w:val="nil"/>
              <w:left w:val="nil"/>
              <w:bottom w:val="nil"/>
              <w:right w:val="nil"/>
            </w:tcBorders>
            <w:shd w:val="clear" w:color="auto" w:fill="auto"/>
            <w:noWrap/>
            <w:vAlign w:val="bottom"/>
            <w:hideMark/>
          </w:tcPr>
          <w:p w14:paraId="2E38E7CA" w14:textId="020EE4C0" w:rsidR="00156137" w:rsidRPr="00156137" w:rsidRDefault="00156137" w:rsidP="00156137">
            <w:pPr>
              <w:jc w:val="center"/>
            </w:pPr>
            <w:r w:rsidRPr="00156137">
              <w:rPr>
                <w:color w:val="000000"/>
              </w:rPr>
              <w:t>-18%</w:t>
            </w:r>
          </w:p>
        </w:tc>
        <w:tc>
          <w:tcPr>
            <w:tcW w:w="2070" w:type="dxa"/>
            <w:tcBorders>
              <w:top w:val="nil"/>
              <w:left w:val="nil"/>
              <w:bottom w:val="nil"/>
              <w:right w:val="nil"/>
            </w:tcBorders>
            <w:shd w:val="clear" w:color="auto" w:fill="auto"/>
            <w:noWrap/>
            <w:vAlign w:val="bottom"/>
            <w:hideMark/>
          </w:tcPr>
          <w:p w14:paraId="5820ED26" w14:textId="167D5C30" w:rsidR="00156137" w:rsidRPr="00156137" w:rsidRDefault="00156137" w:rsidP="00156137">
            <w:pPr>
              <w:jc w:val="center"/>
            </w:pPr>
            <w:r w:rsidRPr="00156137">
              <w:rPr>
                <w:color w:val="000000"/>
              </w:rPr>
              <w:t>54%</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0236B090" w14:textId="18E2666B" w:rsidR="00156137" w:rsidRPr="00156137" w:rsidRDefault="00156137" w:rsidP="00156137">
            <w:pPr>
              <w:jc w:val="center"/>
            </w:pPr>
            <w:r w:rsidRPr="00156137">
              <w:rPr>
                <w:color w:val="000000"/>
              </w:rPr>
              <w:t>36%</w:t>
            </w:r>
          </w:p>
        </w:tc>
      </w:tr>
      <w:tr w:rsidR="00156137" w:rsidRPr="00B31A73" w14:paraId="6AE6EE25"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7820680A" w14:textId="77777777" w:rsidR="00156137" w:rsidRPr="00B31A73" w:rsidRDefault="00156137" w:rsidP="00156137">
            <w:pPr>
              <w:jc w:val="center"/>
            </w:pPr>
            <w:r w:rsidRPr="00B31A73">
              <w:t>1884 - 1891</w:t>
            </w:r>
          </w:p>
        </w:tc>
        <w:tc>
          <w:tcPr>
            <w:tcW w:w="2420" w:type="dxa"/>
            <w:gridSpan w:val="2"/>
            <w:tcBorders>
              <w:top w:val="nil"/>
              <w:left w:val="nil"/>
              <w:bottom w:val="nil"/>
              <w:right w:val="nil"/>
            </w:tcBorders>
            <w:shd w:val="clear" w:color="auto" w:fill="auto"/>
            <w:noWrap/>
            <w:vAlign w:val="bottom"/>
            <w:hideMark/>
          </w:tcPr>
          <w:p w14:paraId="0E44420F" w14:textId="3D955E73" w:rsidR="00156137" w:rsidRPr="00156137" w:rsidRDefault="00156137" w:rsidP="00156137">
            <w:pPr>
              <w:jc w:val="center"/>
            </w:pPr>
            <w:r w:rsidRPr="00156137">
              <w:rPr>
                <w:color w:val="000000"/>
              </w:rPr>
              <w:t>-65%</w:t>
            </w:r>
            <w:r w:rsidR="006D7420">
              <w:rPr>
                <w:color w:val="000000"/>
              </w:rPr>
              <w:t>**</w:t>
            </w:r>
          </w:p>
        </w:tc>
        <w:tc>
          <w:tcPr>
            <w:tcW w:w="2250" w:type="dxa"/>
            <w:tcBorders>
              <w:top w:val="nil"/>
              <w:left w:val="nil"/>
              <w:bottom w:val="nil"/>
              <w:right w:val="nil"/>
            </w:tcBorders>
            <w:shd w:val="clear" w:color="auto" w:fill="auto"/>
            <w:noWrap/>
            <w:vAlign w:val="bottom"/>
            <w:hideMark/>
          </w:tcPr>
          <w:p w14:paraId="6BA6FC82" w14:textId="2668A25D" w:rsidR="00156137" w:rsidRPr="00156137" w:rsidRDefault="00156137" w:rsidP="00156137">
            <w:pPr>
              <w:jc w:val="center"/>
            </w:pPr>
            <w:r w:rsidRPr="00156137">
              <w:rPr>
                <w:color w:val="000000"/>
              </w:rPr>
              <w:t>-36%</w:t>
            </w:r>
          </w:p>
        </w:tc>
        <w:tc>
          <w:tcPr>
            <w:tcW w:w="2070" w:type="dxa"/>
            <w:tcBorders>
              <w:top w:val="nil"/>
              <w:left w:val="nil"/>
              <w:bottom w:val="nil"/>
              <w:right w:val="nil"/>
            </w:tcBorders>
            <w:shd w:val="clear" w:color="auto" w:fill="auto"/>
            <w:noWrap/>
            <w:vAlign w:val="bottom"/>
            <w:hideMark/>
          </w:tcPr>
          <w:p w14:paraId="0031F6E0" w14:textId="2655328D" w:rsidR="00156137" w:rsidRPr="00156137" w:rsidRDefault="00156137" w:rsidP="00156137">
            <w:pPr>
              <w:jc w:val="center"/>
            </w:pPr>
            <w:r w:rsidRPr="00156137">
              <w:rPr>
                <w:color w:val="000000"/>
              </w:rPr>
              <w:t>61%</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17D8955E" w14:textId="7E052B40" w:rsidR="00156137" w:rsidRPr="00156137" w:rsidRDefault="00156137" w:rsidP="00156137">
            <w:pPr>
              <w:jc w:val="center"/>
            </w:pPr>
            <w:r w:rsidRPr="00156137">
              <w:rPr>
                <w:color w:val="000000"/>
              </w:rPr>
              <w:t>43%</w:t>
            </w:r>
          </w:p>
        </w:tc>
      </w:tr>
      <w:tr w:rsidR="00156137" w:rsidRPr="00B31A73" w14:paraId="75320C48"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384AF616" w14:textId="77777777" w:rsidR="00156137" w:rsidRPr="00B31A73" w:rsidRDefault="00156137" w:rsidP="00156137">
            <w:pPr>
              <w:jc w:val="center"/>
            </w:pPr>
            <w:r w:rsidRPr="00B31A73">
              <w:t>1885 - 1892</w:t>
            </w:r>
          </w:p>
        </w:tc>
        <w:tc>
          <w:tcPr>
            <w:tcW w:w="2420" w:type="dxa"/>
            <w:gridSpan w:val="2"/>
            <w:tcBorders>
              <w:top w:val="nil"/>
              <w:left w:val="nil"/>
              <w:bottom w:val="nil"/>
              <w:right w:val="nil"/>
            </w:tcBorders>
            <w:shd w:val="clear" w:color="auto" w:fill="auto"/>
            <w:noWrap/>
            <w:vAlign w:val="bottom"/>
            <w:hideMark/>
          </w:tcPr>
          <w:p w14:paraId="2ECF8495" w14:textId="2D811DB8" w:rsidR="00156137" w:rsidRPr="00156137" w:rsidRDefault="00156137" w:rsidP="00156137">
            <w:pPr>
              <w:jc w:val="center"/>
            </w:pPr>
            <w:r w:rsidRPr="00156137">
              <w:rPr>
                <w:color w:val="000000"/>
              </w:rPr>
              <w:t>-62%</w:t>
            </w:r>
            <w:r w:rsidR="006D7420">
              <w:rPr>
                <w:color w:val="000000"/>
              </w:rPr>
              <w:t>*</w:t>
            </w:r>
          </w:p>
        </w:tc>
        <w:tc>
          <w:tcPr>
            <w:tcW w:w="2250" w:type="dxa"/>
            <w:tcBorders>
              <w:top w:val="nil"/>
              <w:left w:val="nil"/>
              <w:bottom w:val="nil"/>
              <w:right w:val="nil"/>
            </w:tcBorders>
            <w:shd w:val="clear" w:color="auto" w:fill="auto"/>
            <w:noWrap/>
            <w:vAlign w:val="bottom"/>
            <w:hideMark/>
          </w:tcPr>
          <w:p w14:paraId="6A1E12C1" w14:textId="1FB68E7F" w:rsidR="00156137" w:rsidRPr="00156137" w:rsidRDefault="00156137" w:rsidP="00156137">
            <w:pPr>
              <w:jc w:val="center"/>
            </w:pPr>
            <w:r w:rsidRPr="00156137">
              <w:rPr>
                <w:color w:val="000000"/>
              </w:rPr>
              <w:t>-32%</w:t>
            </w:r>
          </w:p>
        </w:tc>
        <w:tc>
          <w:tcPr>
            <w:tcW w:w="2070" w:type="dxa"/>
            <w:tcBorders>
              <w:top w:val="nil"/>
              <w:left w:val="nil"/>
              <w:bottom w:val="nil"/>
              <w:right w:val="nil"/>
            </w:tcBorders>
            <w:shd w:val="clear" w:color="auto" w:fill="auto"/>
            <w:noWrap/>
            <w:vAlign w:val="bottom"/>
            <w:hideMark/>
          </w:tcPr>
          <w:p w14:paraId="1EC27305" w14:textId="4D5DF528" w:rsidR="00156137" w:rsidRPr="00156137" w:rsidRDefault="00156137" w:rsidP="00156137">
            <w:pPr>
              <w:jc w:val="center"/>
            </w:pPr>
            <w:r w:rsidRPr="00156137">
              <w:rPr>
                <w:color w:val="000000"/>
              </w:rPr>
              <w:t>57%</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24C358CA" w14:textId="2A9C99B2" w:rsidR="00156137" w:rsidRPr="00156137" w:rsidRDefault="00156137" w:rsidP="00156137">
            <w:pPr>
              <w:jc w:val="center"/>
            </w:pPr>
            <w:r w:rsidRPr="00156137">
              <w:rPr>
                <w:color w:val="000000"/>
              </w:rPr>
              <w:t>35%</w:t>
            </w:r>
          </w:p>
        </w:tc>
      </w:tr>
      <w:tr w:rsidR="00156137" w:rsidRPr="00B31A73" w14:paraId="1B5D0644"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1C0E0A43" w14:textId="77777777" w:rsidR="00156137" w:rsidRPr="00B31A73" w:rsidRDefault="00156137" w:rsidP="00156137">
            <w:pPr>
              <w:jc w:val="center"/>
            </w:pPr>
            <w:r w:rsidRPr="00B31A73">
              <w:t>1886 - 1893</w:t>
            </w:r>
          </w:p>
        </w:tc>
        <w:tc>
          <w:tcPr>
            <w:tcW w:w="2420" w:type="dxa"/>
            <w:gridSpan w:val="2"/>
            <w:tcBorders>
              <w:top w:val="nil"/>
              <w:left w:val="nil"/>
              <w:bottom w:val="nil"/>
              <w:right w:val="nil"/>
            </w:tcBorders>
            <w:shd w:val="clear" w:color="auto" w:fill="auto"/>
            <w:noWrap/>
            <w:vAlign w:val="bottom"/>
            <w:hideMark/>
          </w:tcPr>
          <w:p w14:paraId="61AC7997" w14:textId="2892ED27" w:rsidR="00156137" w:rsidRPr="00156137" w:rsidRDefault="00156137" w:rsidP="00156137">
            <w:pPr>
              <w:jc w:val="center"/>
            </w:pPr>
            <w:r w:rsidRPr="00156137">
              <w:rPr>
                <w:color w:val="000000"/>
              </w:rPr>
              <w:t>-56%</w:t>
            </w:r>
            <w:r w:rsidR="006D7420">
              <w:rPr>
                <w:color w:val="000000"/>
              </w:rPr>
              <w:t>*</w:t>
            </w:r>
          </w:p>
        </w:tc>
        <w:tc>
          <w:tcPr>
            <w:tcW w:w="2250" w:type="dxa"/>
            <w:tcBorders>
              <w:top w:val="nil"/>
              <w:left w:val="nil"/>
              <w:bottom w:val="nil"/>
              <w:right w:val="nil"/>
            </w:tcBorders>
            <w:shd w:val="clear" w:color="auto" w:fill="auto"/>
            <w:noWrap/>
            <w:vAlign w:val="bottom"/>
            <w:hideMark/>
          </w:tcPr>
          <w:p w14:paraId="30C17A1C" w14:textId="3875A7D4" w:rsidR="00156137" w:rsidRPr="00156137" w:rsidRDefault="00156137" w:rsidP="00156137">
            <w:pPr>
              <w:jc w:val="center"/>
            </w:pPr>
            <w:r w:rsidRPr="00156137">
              <w:rPr>
                <w:color w:val="000000"/>
              </w:rPr>
              <w:t>-43%</w:t>
            </w:r>
          </w:p>
        </w:tc>
        <w:tc>
          <w:tcPr>
            <w:tcW w:w="2070" w:type="dxa"/>
            <w:tcBorders>
              <w:top w:val="nil"/>
              <w:left w:val="nil"/>
              <w:bottom w:val="nil"/>
              <w:right w:val="nil"/>
            </w:tcBorders>
            <w:shd w:val="clear" w:color="auto" w:fill="auto"/>
            <w:noWrap/>
            <w:vAlign w:val="bottom"/>
            <w:hideMark/>
          </w:tcPr>
          <w:p w14:paraId="09765F5D" w14:textId="27A0C10B" w:rsidR="00156137" w:rsidRPr="00156137" w:rsidRDefault="00156137" w:rsidP="00156137">
            <w:pPr>
              <w:jc w:val="center"/>
            </w:pPr>
            <w:r w:rsidRPr="00156137">
              <w:rPr>
                <w:color w:val="000000"/>
              </w:rPr>
              <w:t>61%</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1D352870" w14:textId="05565111" w:rsidR="00156137" w:rsidRPr="00156137" w:rsidRDefault="00156137" w:rsidP="00156137">
            <w:pPr>
              <w:jc w:val="center"/>
            </w:pPr>
            <w:r w:rsidRPr="00156137">
              <w:rPr>
                <w:color w:val="000000"/>
              </w:rPr>
              <w:t>46%</w:t>
            </w:r>
          </w:p>
        </w:tc>
      </w:tr>
      <w:tr w:rsidR="00156137" w:rsidRPr="00B31A73" w14:paraId="036194AD"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5AC60D4F" w14:textId="77777777" w:rsidR="00156137" w:rsidRPr="00B31A73" w:rsidRDefault="00156137" w:rsidP="00156137">
            <w:pPr>
              <w:jc w:val="center"/>
            </w:pPr>
            <w:r w:rsidRPr="00B31A73">
              <w:t>1887 - 1894</w:t>
            </w:r>
          </w:p>
        </w:tc>
        <w:tc>
          <w:tcPr>
            <w:tcW w:w="2420" w:type="dxa"/>
            <w:gridSpan w:val="2"/>
            <w:tcBorders>
              <w:top w:val="nil"/>
              <w:left w:val="nil"/>
              <w:bottom w:val="nil"/>
              <w:right w:val="nil"/>
            </w:tcBorders>
            <w:shd w:val="clear" w:color="auto" w:fill="auto"/>
            <w:noWrap/>
            <w:vAlign w:val="bottom"/>
            <w:hideMark/>
          </w:tcPr>
          <w:p w14:paraId="7AF968C9" w14:textId="0BE45C9F" w:rsidR="00156137" w:rsidRPr="00156137" w:rsidRDefault="00156137" w:rsidP="00156137">
            <w:pPr>
              <w:jc w:val="center"/>
            </w:pPr>
            <w:r w:rsidRPr="00156137">
              <w:rPr>
                <w:color w:val="000000"/>
              </w:rPr>
              <w:t>-49%</w:t>
            </w:r>
          </w:p>
        </w:tc>
        <w:tc>
          <w:tcPr>
            <w:tcW w:w="2250" w:type="dxa"/>
            <w:tcBorders>
              <w:top w:val="nil"/>
              <w:left w:val="nil"/>
              <w:bottom w:val="nil"/>
              <w:right w:val="nil"/>
            </w:tcBorders>
            <w:shd w:val="clear" w:color="auto" w:fill="auto"/>
            <w:noWrap/>
            <w:vAlign w:val="bottom"/>
            <w:hideMark/>
          </w:tcPr>
          <w:p w14:paraId="4D35E619" w14:textId="74D405E2" w:rsidR="00156137" w:rsidRPr="00156137" w:rsidRDefault="00156137" w:rsidP="00156137">
            <w:pPr>
              <w:jc w:val="center"/>
            </w:pPr>
            <w:r w:rsidRPr="00156137">
              <w:rPr>
                <w:color w:val="000000"/>
              </w:rPr>
              <w:t>-46%</w:t>
            </w:r>
          </w:p>
        </w:tc>
        <w:tc>
          <w:tcPr>
            <w:tcW w:w="2070" w:type="dxa"/>
            <w:tcBorders>
              <w:top w:val="nil"/>
              <w:left w:val="nil"/>
              <w:bottom w:val="nil"/>
              <w:right w:val="nil"/>
            </w:tcBorders>
            <w:shd w:val="clear" w:color="auto" w:fill="auto"/>
            <w:noWrap/>
            <w:vAlign w:val="bottom"/>
            <w:hideMark/>
          </w:tcPr>
          <w:p w14:paraId="27C92952" w14:textId="5D1A8E99" w:rsidR="00156137" w:rsidRPr="00156137" w:rsidRDefault="00156137" w:rsidP="00156137">
            <w:pPr>
              <w:jc w:val="center"/>
            </w:pPr>
            <w:r w:rsidRPr="00156137">
              <w:rPr>
                <w:color w:val="000000"/>
              </w:rPr>
              <w:t>54%</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6B42F944" w14:textId="5C510EEA" w:rsidR="00156137" w:rsidRPr="00156137" w:rsidRDefault="00156137" w:rsidP="00156137">
            <w:pPr>
              <w:jc w:val="center"/>
            </w:pPr>
            <w:r w:rsidRPr="00156137">
              <w:rPr>
                <w:color w:val="000000"/>
              </w:rPr>
              <w:t>47%</w:t>
            </w:r>
          </w:p>
        </w:tc>
      </w:tr>
      <w:tr w:rsidR="00156137" w:rsidRPr="00B31A73" w14:paraId="1C725B49" w14:textId="77777777" w:rsidTr="00DA35E2">
        <w:trPr>
          <w:gridAfter w:val="1"/>
          <w:wAfter w:w="90" w:type="dxa"/>
          <w:trHeight w:val="260"/>
        </w:trPr>
        <w:tc>
          <w:tcPr>
            <w:tcW w:w="1540" w:type="dxa"/>
            <w:tcBorders>
              <w:top w:val="nil"/>
              <w:left w:val="nil"/>
              <w:bottom w:val="nil"/>
              <w:right w:val="nil"/>
            </w:tcBorders>
            <w:shd w:val="clear" w:color="auto" w:fill="auto"/>
            <w:noWrap/>
            <w:vAlign w:val="bottom"/>
            <w:hideMark/>
          </w:tcPr>
          <w:p w14:paraId="519164C6" w14:textId="77777777" w:rsidR="00156137" w:rsidRPr="00B31A73" w:rsidRDefault="00156137" w:rsidP="00156137">
            <w:pPr>
              <w:jc w:val="center"/>
            </w:pPr>
            <w:r w:rsidRPr="00B31A73">
              <w:t>1888 - 1895</w:t>
            </w:r>
          </w:p>
        </w:tc>
        <w:tc>
          <w:tcPr>
            <w:tcW w:w="2420" w:type="dxa"/>
            <w:gridSpan w:val="2"/>
            <w:tcBorders>
              <w:top w:val="nil"/>
              <w:left w:val="nil"/>
              <w:bottom w:val="nil"/>
              <w:right w:val="nil"/>
            </w:tcBorders>
            <w:shd w:val="clear" w:color="auto" w:fill="auto"/>
            <w:noWrap/>
            <w:vAlign w:val="bottom"/>
            <w:hideMark/>
          </w:tcPr>
          <w:p w14:paraId="51D3D50C" w14:textId="5EDD67FC" w:rsidR="00156137" w:rsidRPr="00156137" w:rsidRDefault="00156137" w:rsidP="00156137">
            <w:pPr>
              <w:jc w:val="center"/>
            </w:pPr>
            <w:r w:rsidRPr="00156137">
              <w:rPr>
                <w:color w:val="000000"/>
              </w:rPr>
              <w:t>-56%</w:t>
            </w:r>
            <w:r w:rsidR="006D7420">
              <w:rPr>
                <w:color w:val="000000"/>
              </w:rPr>
              <w:t>*</w:t>
            </w:r>
          </w:p>
        </w:tc>
        <w:tc>
          <w:tcPr>
            <w:tcW w:w="2250" w:type="dxa"/>
            <w:tcBorders>
              <w:top w:val="nil"/>
              <w:left w:val="nil"/>
              <w:bottom w:val="nil"/>
              <w:right w:val="nil"/>
            </w:tcBorders>
            <w:shd w:val="clear" w:color="auto" w:fill="auto"/>
            <w:noWrap/>
            <w:vAlign w:val="bottom"/>
            <w:hideMark/>
          </w:tcPr>
          <w:p w14:paraId="46A11463" w14:textId="6EEB17AB" w:rsidR="00156137" w:rsidRPr="00156137" w:rsidRDefault="00156137" w:rsidP="00156137">
            <w:pPr>
              <w:jc w:val="center"/>
            </w:pPr>
            <w:r w:rsidRPr="00156137">
              <w:rPr>
                <w:color w:val="000000"/>
              </w:rPr>
              <w:t>-59%</w:t>
            </w:r>
            <w:r w:rsidR="006D7420">
              <w:rPr>
                <w:color w:val="000000"/>
              </w:rPr>
              <w:t>*</w:t>
            </w:r>
          </w:p>
        </w:tc>
        <w:tc>
          <w:tcPr>
            <w:tcW w:w="2070" w:type="dxa"/>
            <w:tcBorders>
              <w:top w:val="nil"/>
              <w:left w:val="nil"/>
              <w:bottom w:val="nil"/>
              <w:right w:val="nil"/>
            </w:tcBorders>
            <w:shd w:val="clear" w:color="auto" w:fill="auto"/>
            <w:noWrap/>
            <w:vAlign w:val="bottom"/>
            <w:hideMark/>
          </w:tcPr>
          <w:p w14:paraId="2C97EA70" w14:textId="4BF7F541" w:rsidR="00156137" w:rsidRPr="00156137" w:rsidRDefault="00156137" w:rsidP="00156137">
            <w:pPr>
              <w:jc w:val="center"/>
            </w:pPr>
            <w:r w:rsidRPr="00156137">
              <w:rPr>
                <w:color w:val="000000"/>
              </w:rPr>
              <w:t>59%</w:t>
            </w:r>
            <w:r w:rsidR="006D7420">
              <w:rPr>
                <w:color w:val="000000"/>
              </w:rPr>
              <w:t>*</w:t>
            </w:r>
          </w:p>
        </w:tc>
        <w:tc>
          <w:tcPr>
            <w:tcW w:w="2340" w:type="dxa"/>
            <w:gridSpan w:val="3"/>
            <w:tcBorders>
              <w:top w:val="nil"/>
              <w:left w:val="nil"/>
              <w:bottom w:val="nil"/>
              <w:right w:val="nil"/>
            </w:tcBorders>
            <w:shd w:val="clear" w:color="auto" w:fill="auto"/>
            <w:noWrap/>
            <w:vAlign w:val="bottom"/>
            <w:hideMark/>
          </w:tcPr>
          <w:p w14:paraId="5B09A7AC" w14:textId="02889B74" w:rsidR="00156137" w:rsidRPr="00156137" w:rsidRDefault="00156137" w:rsidP="00156137">
            <w:pPr>
              <w:jc w:val="center"/>
            </w:pPr>
            <w:r w:rsidRPr="00156137">
              <w:rPr>
                <w:color w:val="000000"/>
              </w:rPr>
              <w:t>56%</w:t>
            </w:r>
            <w:r w:rsidR="006D7420">
              <w:rPr>
                <w:color w:val="000000"/>
              </w:rPr>
              <w:t>*</w:t>
            </w:r>
          </w:p>
        </w:tc>
      </w:tr>
    </w:tbl>
    <w:p w14:paraId="60415C10" w14:textId="58A56A0A" w:rsidR="00F7696E" w:rsidRDefault="000F57FF" w:rsidP="00CA6307">
      <w:pPr>
        <w:rPr>
          <w:b/>
        </w:rPr>
      </w:pPr>
      <w:r>
        <w:rPr>
          <w:b/>
          <w:noProof/>
        </w:rPr>
        <mc:AlternateContent>
          <mc:Choice Requires="wps">
            <w:drawing>
              <wp:anchor distT="0" distB="0" distL="114300" distR="114300" simplePos="0" relativeHeight="251660288" behindDoc="0" locked="0" layoutInCell="1" allowOverlap="1" wp14:anchorId="79715EFC" wp14:editId="4BF17494">
                <wp:simplePos x="0" y="0"/>
                <wp:positionH relativeFrom="column">
                  <wp:posOffset>65314</wp:posOffset>
                </wp:positionH>
                <wp:positionV relativeFrom="paragraph">
                  <wp:posOffset>80464</wp:posOffset>
                </wp:positionV>
                <wp:extent cx="4131128" cy="530678"/>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4131128" cy="530678"/>
                        </a:xfrm>
                        <a:prstGeom prst="rect">
                          <a:avLst/>
                        </a:prstGeom>
                        <a:solidFill>
                          <a:schemeClr val="lt1"/>
                        </a:solidFill>
                        <a:ln w="6350">
                          <a:noFill/>
                        </a:ln>
                      </wps:spPr>
                      <wps:txbx>
                        <w:txbxContent>
                          <w:p w14:paraId="2C7F8384" w14:textId="77777777" w:rsidR="00104DD0" w:rsidRDefault="00104DD0" w:rsidP="000F57FF">
                            <w:pPr>
                              <w:rPr>
                                <w:sz w:val="18"/>
                                <w:szCs w:val="18"/>
                              </w:rPr>
                            </w:pPr>
                            <w:r>
                              <w:rPr>
                                <w:sz w:val="18"/>
                                <w:szCs w:val="18"/>
                              </w:rPr>
                              <w:t>Source: Robert Shiller data, author’s calculations</w:t>
                            </w:r>
                          </w:p>
                          <w:p w14:paraId="69BA44BF" w14:textId="01D6E799" w:rsidR="00104DD0" w:rsidRPr="000F57FF" w:rsidRDefault="00104DD0" w:rsidP="000F57FF">
                            <w:pPr>
                              <w:rPr>
                                <w:sz w:val="18"/>
                                <w:szCs w:val="18"/>
                              </w:rPr>
                            </w:pPr>
                            <w:r w:rsidRPr="000F57FF">
                              <w:rPr>
                                <w:sz w:val="18"/>
                                <w:szCs w:val="18"/>
                              </w:rPr>
                              <w:t>*statistically significant at the .05 level</w:t>
                            </w:r>
                          </w:p>
                          <w:p w14:paraId="148DCCD5" w14:textId="644E8A9C" w:rsidR="00104DD0" w:rsidRPr="000F57FF" w:rsidRDefault="00104DD0" w:rsidP="000F57FF">
                            <w:pPr>
                              <w:rPr>
                                <w:sz w:val="18"/>
                                <w:szCs w:val="18"/>
                              </w:rPr>
                            </w:pPr>
                            <w:r w:rsidRPr="000F57FF">
                              <w:rPr>
                                <w:sz w:val="18"/>
                                <w:szCs w:val="18"/>
                              </w:rPr>
                              <w:t>**statistically significant at the .01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715EFC" id="Text Box 3" o:spid="_x0000_s1029" type="#_x0000_t202" style="position:absolute;margin-left:5.15pt;margin-top:6.35pt;width:325.3pt;height:4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" fillcolor="white [3201]" stroked="f" strokeweight=".5pt">
                <v:textbox>
                  <w:txbxContent>
                    <w:p w14:paraId="2C7F8384" w14:textId="77777777" w:rsidR="00104DD0" w:rsidRDefault="00104DD0" w:rsidP="000F57FF">
                      <w:pPr>
                        <w:rPr>
                          <w:sz w:val="18"/>
                          <w:szCs w:val="18"/>
                        </w:rPr>
                      </w:pPr>
                      <w:r>
                        <w:rPr>
                          <w:sz w:val="18"/>
                          <w:szCs w:val="18"/>
                        </w:rPr>
                        <w:t>Source: Robert Shiller data, author’s calculations</w:t>
                      </w:r>
                    </w:p>
                    <w:p w14:paraId="69BA44BF" w14:textId="01D6E799" w:rsidR="00104DD0" w:rsidRPr="000F57FF" w:rsidRDefault="00104DD0" w:rsidP="000F57FF">
                      <w:pPr>
                        <w:rPr>
                          <w:sz w:val="18"/>
                          <w:szCs w:val="18"/>
                        </w:rPr>
                      </w:pPr>
                      <w:r w:rsidRPr="000F57FF">
                        <w:rPr>
                          <w:sz w:val="18"/>
                          <w:szCs w:val="18"/>
                        </w:rPr>
                        <w:t>*statistically significant at the .05 level</w:t>
                      </w:r>
                    </w:p>
                    <w:p w14:paraId="148DCCD5" w14:textId="644E8A9C" w:rsidR="00104DD0" w:rsidRPr="000F57FF" w:rsidRDefault="00104DD0" w:rsidP="000F57FF">
                      <w:pPr>
                        <w:rPr>
                          <w:sz w:val="18"/>
                          <w:szCs w:val="18"/>
                        </w:rPr>
                      </w:pPr>
                      <w:r w:rsidRPr="000F57FF">
                        <w:rPr>
                          <w:sz w:val="18"/>
                          <w:szCs w:val="18"/>
                        </w:rPr>
                        <w:t>**statistically significant at the .01 level</w:t>
                      </w:r>
                    </w:p>
                  </w:txbxContent>
                </v:textbox>
              </v:shape>
            </w:pict>
          </mc:Fallback>
        </mc:AlternateContent>
      </w:r>
    </w:p>
    <w:p w14:paraId="6D57B965" w14:textId="3203D8EA" w:rsidR="00F7696E" w:rsidRDefault="00F7696E">
      <w:pPr>
        <w:rPr>
          <w:b/>
        </w:rPr>
      </w:pPr>
      <w:r>
        <w:rPr>
          <w:b/>
        </w:rPr>
        <w:br w:type="page"/>
      </w:r>
    </w:p>
    <w:p w14:paraId="5E1DA135" w14:textId="781E10D5" w:rsidR="00B872AC" w:rsidRPr="00B872AC" w:rsidRDefault="00B872AC" w:rsidP="00CA6307">
      <w:pPr>
        <w:rPr>
          <w:b/>
        </w:rPr>
      </w:pPr>
      <w:r w:rsidRPr="00B872AC">
        <w:rPr>
          <w:b/>
        </w:rPr>
        <w:lastRenderedPageBreak/>
        <w:t>Table 5</w:t>
      </w:r>
    </w:p>
    <w:tbl>
      <w:tblPr>
        <w:tblW w:w="7920" w:type="dxa"/>
        <w:tblLook w:val="04A0" w:firstRow="1" w:lastRow="0" w:firstColumn="1" w:lastColumn="0" w:noHBand="0" w:noVBand="1"/>
      </w:tblPr>
      <w:tblGrid>
        <w:gridCol w:w="1710"/>
        <w:gridCol w:w="1419"/>
        <w:gridCol w:w="1551"/>
        <w:gridCol w:w="1356"/>
        <w:gridCol w:w="1884"/>
      </w:tblGrid>
      <w:tr w:rsidR="00B872AC" w:rsidRPr="00B31A73" w14:paraId="6CC35E65" w14:textId="77777777" w:rsidTr="00222567">
        <w:trPr>
          <w:trHeight w:val="320"/>
        </w:trPr>
        <w:tc>
          <w:tcPr>
            <w:tcW w:w="1710" w:type="dxa"/>
            <w:tcBorders>
              <w:top w:val="nil"/>
              <w:left w:val="nil"/>
              <w:bottom w:val="nil"/>
              <w:right w:val="nil"/>
            </w:tcBorders>
            <w:shd w:val="clear" w:color="auto" w:fill="auto"/>
            <w:noWrap/>
            <w:vAlign w:val="bottom"/>
            <w:hideMark/>
          </w:tcPr>
          <w:p w14:paraId="2F328F70" w14:textId="77777777" w:rsidR="00B872AC" w:rsidRPr="00B31A73" w:rsidRDefault="00B872AC" w:rsidP="00222567">
            <w:pPr>
              <w:jc w:val="center"/>
            </w:pPr>
          </w:p>
        </w:tc>
        <w:tc>
          <w:tcPr>
            <w:tcW w:w="6210" w:type="dxa"/>
            <w:gridSpan w:val="4"/>
            <w:tcBorders>
              <w:top w:val="nil"/>
              <w:left w:val="nil"/>
              <w:bottom w:val="single" w:sz="4" w:space="0" w:color="auto"/>
              <w:right w:val="nil"/>
            </w:tcBorders>
            <w:shd w:val="clear" w:color="auto" w:fill="auto"/>
            <w:noWrap/>
            <w:vAlign w:val="bottom"/>
            <w:hideMark/>
          </w:tcPr>
          <w:p w14:paraId="41B58BDC" w14:textId="77777777" w:rsidR="00B872AC" w:rsidRPr="00B31A73" w:rsidRDefault="00B872AC" w:rsidP="00222567">
            <w:pPr>
              <w:jc w:val="center"/>
            </w:pPr>
            <w:r w:rsidRPr="00B31A73">
              <w:t xml:space="preserve"> Dataset from 1881 </w:t>
            </w:r>
            <w:proofErr w:type="gramStart"/>
            <w:r w:rsidRPr="00B31A73">
              <w:t>-  (</w:t>
            </w:r>
            <w:proofErr w:type="gramEnd"/>
            <w:r w:rsidRPr="00B31A73">
              <w:t>add 10 for ERS)</w:t>
            </w:r>
          </w:p>
        </w:tc>
      </w:tr>
      <w:tr w:rsidR="00B872AC" w:rsidRPr="00B31A73" w14:paraId="5693F766" w14:textId="77777777" w:rsidTr="00222567">
        <w:trPr>
          <w:trHeight w:val="576"/>
        </w:trPr>
        <w:tc>
          <w:tcPr>
            <w:tcW w:w="1710" w:type="dxa"/>
            <w:tcBorders>
              <w:top w:val="nil"/>
              <w:left w:val="nil"/>
              <w:bottom w:val="nil"/>
              <w:right w:val="nil"/>
            </w:tcBorders>
            <w:shd w:val="clear" w:color="auto" w:fill="auto"/>
            <w:vAlign w:val="bottom"/>
            <w:hideMark/>
          </w:tcPr>
          <w:p w14:paraId="1E0942FA" w14:textId="28959591" w:rsidR="00B872AC" w:rsidRPr="00B31A73" w:rsidRDefault="00222567" w:rsidP="00222567">
            <w:pPr>
              <w:jc w:val="center"/>
            </w:pPr>
            <w:r>
              <w:t>Forecast</w:t>
            </w:r>
            <w:r w:rsidR="00B872AC" w:rsidRPr="00B31A73">
              <w:t xml:space="preserve"> period</w:t>
            </w:r>
          </w:p>
        </w:tc>
        <w:tc>
          <w:tcPr>
            <w:tcW w:w="1419" w:type="dxa"/>
            <w:tcBorders>
              <w:top w:val="nil"/>
              <w:left w:val="nil"/>
              <w:bottom w:val="nil"/>
              <w:right w:val="nil"/>
            </w:tcBorders>
            <w:shd w:val="clear" w:color="auto" w:fill="auto"/>
            <w:noWrap/>
            <w:vAlign w:val="bottom"/>
            <w:hideMark/>
          </w:tcPr>
          <w:p w14:paraId="645B3514" w14:textId="77777777" w:rsidR="00B872AC" w:rsidRPr="00B31A73" w:rsidRDefault="00B872AC" w:rsidP="00222567">
            <w:pPr>
              <w:jc w:val="right"/>
            </w:pPr>
            <w:r w:rsidRPr="00B31A73">
              <w:t>Intercept</w:t>
            </w:r>
          </w:p>
        </w:tc>
        <w:tc>
          <w:tcPr>
            <w:tcW w:w="1551" w:type="dxa"/>
            <w:tcBorders>
              <w:top w:val="nil"/>
              <w:left w:val="nil"/>
              <w:bottom w:val="nil"/>
              <w:right w:val="nil"/>
            </w:tcBorders>
            <w:shd w:val="clear" w:color="auto" w:fill="auto"/>
            <w:noWrap/>
            <w:vAlign w:val="bottom"/>
            <w:hideMark/>
          </w:tcPr>
          <w:p w14:paraId="1A102C51" w14:textId="77777777" w:rsidR="00B872AC" w:rsidRPr="00B31A73" w:rsidRDefault="00B872AC" w:rsidP="00222567">
            <w:pPr>
              <w:jc w:val="right"/>
            </w:pPr>
            <w:r w:rsidRPr="00B31A73">
              <w:t>Slope</w:t>
            </w:r>
          </w:p>
        </w:tc>
        <w:tc>
          <w:tcPr>
            <w:tcW w:w="1356" w:type="dxa"/>
            <w:tcBorders>
              <w:top w:val="nil"/>
              <w:left w:val="nil"/>
              <w:bottom w:val="nil"/>
              <w:right w:val="nil"/>
            </w:tcBorders>
            <w:shd w:val="clear" w:color="auto" w:fill="auto"/>
            <w:noWrap/>
            <w:vAlign w:val="bottom"/>
            <w:hideMark/>
          </w:tcPr>
          <w:p w14:paraId="7980D00D" w14:textId="54BE8F60" w:rsidR="00B872AC" w:rsidRPr="00B31A73" w:rsidRDefault="00B872AC" w:rsidP="00222567">
            <w:pPr>
              <w:jc w:val="right"/>
            </w:pPr>
            <w:r w:rsidRPr="00B31A73">
              <w:t>R</w:t>
            </w:r>
            <w:r w:rsidR="00F42BAE" w:rsidRPr="00F42BAE">
              <w:rPr>
                <w:vertAlign w:val="superscript"/>
              </w:rPr>
              <w:t>2</w:t>
            </w:r>
          </w:p>
        </w:tc>
        <w:tc>
          <w:tcPr>
            <w:tcW w:w="1884" w:type="dxa"/>
            <w:tcBorders>
              <w:top w:val="nil"/>
              <w:left w:val="nil"/>
              <w:bottom w:val="nil"/>
              <w:right w:val="nil"/>
            </w:tcBorders>
            <w:shd w:val="clear" w:color="auto" w:fill="auto"/>
            <w:vAlign w:val="bottom"/>
            <w:hideMark/>
          </w:tcPr>
          <w:p w14:paraId="5DBA7E81" w14:textId="77777777" w:rsidR="00B872AC" w:rsidRPr="00B31A73" w:rsidRDefault="00B872AC" w:rsidP="00222567">
            <w:pPr>
              <w:jc w:val="right"/>
            </w:pPr>
            <w:r w:rsidRPr="00B31A73">
              <w:t>Return periods included</w:t>
            </w:r>
          </w:p>
        </w:tc>
      </w:tr>
      <w:tr w:rsidR="00104DD0" w:rsidRPr="00B31A73" w14:paraId="37873363" w14:textId="77777777" w:rsidTr="00222567">
        <w:trPr>
          <w:trHeight w:val="260"/>
        </w:trPr>
        <w:tc>
          <w:tcPr>
            <w:tcW w:w="1710" w:type="dxa"/>
            <w:tcBorders>
              <w:top w:val="nil"/>
              <w:left w:val="nil"/>
              <w:bottom w:val="nil"/>
              <w:right w:val="nil"/>
            </w:tcBorders>
            <w:shd w:val="clear" w:color="auto" w:fill="auto"/>
            <w:noWrap/>
            <w:vAlign w:val="bottom"/>
            <w:hideMark/>
          </w:tcPr>
          <w:p w14:paraId="0586EA69" w14:textId="77777777" w:rsidR="00104DD0" w:rsidRPr="00B31A73" w:rsidRDefault="00104DD0" w:rsidP="00104DD0">
            <w:pPr>
              <w:jc w:val="center"/>
            </w:pPr>
            <w:r w:rsidRPr="00B31A73">
              <w:t>5</w:t>
            </w:r>
          </w:p>
        </w:tc>
        <w:tc>
          <w:tcPr>
            <w:tcW w:w="1419" w:type="dxa"/>
            <w:tcBorders>
              <w:top w:val="nil"/>
              <w:left w:val="nil"/>
              <w:bottom w:val="nil"/>
              <w:right w:val="nil"/>
            </w:tcBorders>
            <w:shd w:val="clear" w:color="auto" w:fill="auto"/>
            <w:noWrap/>
            <w:vAlign w:val="bottom"/>
            <w:hideMark/>
          </w:tcPr>
          <w:p w14:paraId="23DB7645" w14:textId="3DC5C2CE" w:rsidR="00104DD0" w:rsidRPr="00104DD0" w:rsidRDefault="00104DD0" w:rsidP="00104DD0">
            <w:pPr>
              <w:jc w:val="right"/>
            </w:pPr>
            <w:r w:rsidRPr="00104DD0">
              <w:t>0.0475</w:t>
            </w:r>
          </w:p>
        </w:tc>
        <w:tc>
          <w:tcPr>
            <w:tcW w:w="1551" w:type="dxa"/>
            <w:tcBorders>
              <w:top w:val="nil"/>
              <w:left w:val="nil"/>
              <w:bottom w:val="nil"/>
              <w:right w:val="nil"/>
            </w:tcBorders>
            <w:shd w:val="clear" w:color="auto" w:fill="auto"/>
            <w:noWrap/>
            <w:vAlign w:val="bottom"/>
            <w:hideMark/>
          </w:tcPr>
          <w:p w14:paraId="3554EA6B" w14:textId="35454F1E" w:rsidR="00104DD0" w:rsidRPr="00104DD0" w:rsidRDefault="00104DD0" w:rsidP="00104DD0">
            <w:pPr>
              <w:jc w:val="right"/>
            </w:pPr>
            <w:r w:rsidRPr="00104DD0">
              <w:t>-0.0031</w:t>
            </w:r>
          </w:p>
        </w:tc>
        <w:tc>
          <w:tcPr>
            <w:tcW w:w="1356" w:type="dxa"/>
            <w:tcBorders>
              <w:top w:val="nil"/>
              <w:left w:val="nil"/>
              <w:bottom w:val="nil"/>
              <w:right w:val="nil"/>
            </w:tcBorders>
            <w:shd w:val="clear" w:color="auto" w:fill="auto"/>
            <w:noWrap/>
            <w:vAlign w:val="bottom"/>
            <w:hideMark/>
          </w:tcPr>
          <w:p w14:paraId="15B1CAF0" w14:textId="703366A3" w:rsidR="00104DD0" w:rsidRPr="00104DD0" w:rsidRDefault="00104DD0" w:rsidP="00104DD0">
            <w:pPr>
              <w:jc w:val="right"/>
            </w:pPr>
            <w:r w:rsidRPr="00104DD0">
              <w:t>0.250</w:t>
            </w:r>
          </w:p>
        </w:tc>
        <w:tc>
          <w:tcPr>
            <w:tcW w:w="1884" w:type="dxa"/>
            <w:tcBorders>
              <w:top w:val="nil"/>
              <w:left w:val="nil"/>
              <w:bottom w:val="nil"/>
              <w:right w:val="nil"/>
            </w:tcBorders>
            <w:shd w:val="clear" w:color="auto" w:fill="auto"/>
            <w:noWrap/>
            <w:vAlign w:val="bottom"/>
            <w:hideMark/>
          </w:tcPr>
          <w:p w14:paraId="60C31847" w14:textId="269B96F0" w:rsidR="00104DD0" w:rsidRPr="00104DD0" w:rsidRDefault="00104DD0" w:rsidP="00104DD0">
            <w:pPr>
              <w:jc w:val="right"/>
            </w:pPr>
            <w:r w:rsidRPr="00104DD0">
              <w:t>133</w:t>
            </w:r>
          </w:p>
        </w:tc>
      </w:tr>
      <w:tr w:rsidR="00104DD0" w:rsidRPr="00B31A73" w14:paraId="7FC8D8BA" w14:textId="77777777" w:rsidTr="00222567">
        <w:trPr>
          <w:trHeight w:val="260"/>
        </w:trPr>
        <w:tc>
          <w:tcPr>
            <w:tcW w:w="1710" w:type="dxa"/>
            <w:tcBorders>
              <w:top w:val="nil"/>
              <w:left w:val="nil"/>
              <w:bottom w:val="nil"/>
              <w:right w:val="nil"/>
            </w:tcBorders>
            <w:shd w:val="clear" w:color="auto" w:fill="auto"/>
            <w:noWrap/>
            <w:vAlign w:val="bottom"/>
            <w:hideMark/>
          </w:tcPr>
          <w:p w14:paraId="58CB1D67" w14:textId="77777777" w:rsidR="00104DD0" w:rsidRPr="00B31A73" w:rsidRDefault="00104DD0" w:rsidP="00104DD0">
            <w:pPr>
              <w:jc w:val="center"/>
            </w:pPr>
            <w:r w:rsidRPr="00B31A73">
              <w:t>10</w:t>
            </w:r>
          </w:p>
        </w:tc>
        <w:tc>
          <w:tcPr>
            <w:tcW w:w="1419" w:type="dxa"/>
            <w:tcBorders>
              <w:top w:val="nil"/>
              <w:left w:val="nil"/>
              <w:bottom w:val="nil"/>
              <w:right w:val="nil"/>
            </w:tcBorders>
            <w:shd w:val="clear" w:color="auto" w:fill="auto"/>
            <w:noWrap/>
            <w:vAlign w:val="bottom"/>
            <w:hideMark/>
          </w:tcPr>
          <w:p w14:paraId="0333DA5A" w14:textId="50F62564" w:rsidR="00104DD0" w:rsidRPr="00104DD0" w:rsidRDefault="00104DD0" w:rsidP="00104DD0">
            <w:pPr>
              <w:jc w:val="right"/>
            </w:pPr>
            <w:r w:rsidRPr="00104DD0">
              <w:t>0.0459</w:t>
            </w:r>
          </w:p>
        </w:tc>
        <w:tc>
          <w:tcPr>
            <w:tcW w:w="1551" w:type="dxa"/>
            <w:tcBorders>
              <w:top w:val="nil"/>
              <w:left w:val="nil"/>
              <w:bottom w:val="nil"/>
              <w:right w:val="nil"/>
            </w:tcBorders>
            <w:shd w:val="clear" w:color="auto" w:fill="auto"/>
            <w:noWrap/>
            <w:vAlign w:val="bottom"/>
            <w:hideMark/>
          </w:tcPr>
          <w:p w14:paraId="774C71AE" w14:textId="7A125F1A" w:rsidR="00104DD0" w:rsidRPr="00104DD0" w:rsidRDefault="00104DD0" w:rsidP="00104DD0">
            <w:pPr>
              <w:jc w:val="right"/>
            </w:pPr>
            <w:r w:rsidRPr="00104DD0">
              <w:t>-0.0027</w:t>
            </w:r>
          </w:p>
        </w:tc>
        <w:tc>
          <w:tcPr>
            <w:tcW w:w="1356" w:type="dxa"/>
            <w:tcBorders>
              <w:top w:val="nil"/>
              <w:left w:val="nil"/>
              <w:bottom w:val="nil"/>
              <w:right w:val="nil"/>
            </w:tcBorders>
            <w:shd w:val="clear" w:color="auto" w:fill="auto"/>
            <w:noWrap/>
            <w:vAlign w:val="bottom"/>
            <w:hideMark/>
          </w:tcPr>
          <w:p w14:paraId="4AB208E3" w14:textId="3B917D28" w:rsidR="00104DD0" w:rsidRPr="00104DD0" w:rsidRDefault="00104DD0" w:rsidP="00104DD0">
            <w:pPr>
              <w:jc w:val="right"/>
            </w:pPr>
            <w:r w:rsidRPr="00104DD0">
              <w:t>0.434</w:t>
            </w:r>
          </w:p>
        </w:tc>
        <w:tc>
          <w:tcPr>
            <w:tcW w:w="1884" w:type="dxa"/>
            <w:tcBorders>
              <w:top w:val="nil"/>
              <w:left w:val="nil"/>
              <w:bottom w:val="nil"/>
              <w:right w:val="nil"/>
            </w:tcBorders>
            <w:shd w:val="clear" w:color="auto" w:fill="auto"/>
            <w:noWrap/>
            <w:vAlign w:val="bottom"/>
            <w:hideMark/>
          </w:tcPr>
          <w:p w14:paraId="2B0BD3CB" w14:textId="2D14DBDE" w:rsidR="00104DD0" w:rsidRPr="00104DD0" w:rsidRDefault="00104DD0" w:rsidP="00104DD0">
            <w:pPr>
              <w:jc w:val="right"/>
            </w:pPr>
            <w:r w:rsidRPr="00104DD0">
              <w:t>128</w:t>
            </w:r>
          </w:p>
        </w:tc>
      </w:tr>
      <w:tr w:rsidR="00104DD0" w:rsidRPr="00B31A73" w14:paraId="76C2D133" w14:textId="77777777" w:rsidTr="00222567">
        <w:trPr>
          <w:trHeight w:val="260"/>
        </w:trPr>
        <w:tc>
          <w:tcPr>
            <w:tcW w:w="1710" w:type="dxa"/>
            <w:tcBorders>
              <w:top w:val="nil"/>
              <w:left w:val="nil"/>
              <w:bottom w:val="nil"/>
              <w:right w:val="nil"/>
            </w:tcBorders>
            <w:shd w:val="clear" w:color="auto" w:fill="auto"/>
            <w:noWrap/>
            <w:vAlign w:val="bottom"/>
            <w:hideMark/>
          </w:tcPr>
          <w:p w14:paraId="572F4A6F" w14:textId="77777777" w:rsidR="00104DD0" w:rsidRPr="00B31A73" w:rsidRDefault="00104DD0" w:rsidP="00104DD0">
            <w:pPr>
              <w:jc w:val="center"/>
            </w:pPr>
            <w:r w:rsidRPr="00B31A73">
              <w:t>15</w:t>
            </w:r>
          </w:p>
        </w:tc>
        <w:tc>
          <w:tcPr>
            <w:tcW w:w="1419" w:type="dxa"/>
            <w:tcBorders>
              <w:top w:val="nil"/>
              <w:left w:val="nil"/>
              <w:bottom w:val="nil"/>
              <w:right w:val="nil"/>
            </w:tcBorders>
            <w:shd w:val="clear" w:color="auto" w:fill="auto"/>
            <w:noWrap/>
            <w:vAlign w:val="bottom"/>
            <w:hideMark/>
          </w:tcPr>
          <w:p w14:paraId="4C476FB2" w14:textId="0280504E" w:rsidR="00104DD0" w:rsidRPr="00104DD0" w:rsidRDefault="00104DD0" w:rsidP="00104DD0">
            <w:pPr>
              <w:jc w:val="right"/>
            </w:pPr>
            <w:r w:rsidRPr="00104DD0">
              <w:t>0.0457</w:t>
            </w:r>
          </w:p>
        </w:tc>
        <w:tc>
          <w:tcPr>
            <w:tcW w:w="1551" w:type="dxa"/>
            <w:tcBorders>
              <w:top w:val="nil"/>
              <w:left w:val="nil"/>
              <w:bottom w:val="nil"/>
              <w:right w:val="nil"/>
            </w:tcBorders>
            <w:shd w:val="clear" w:color="auto" w:fill="auto"/>
            <w:noWrap/>
            <w:vAlign w:val="bottom"/>
            <w:hideMark/>
          </w:tcPr>
          <w:p w14:paraId="6B94E4AA" w14:textId="70838706" w:rsidR="00104DD0" w:rsidRPr="00104DD0" w:rsidRDefault="00104DD0" w:rsidP="00104DD0">
            <w:pPr>
              <w:jc w:val="right"/>
            </w:pPr>
            <w:r w:rsidRPr="00104DD0">
              <w:t>-0.0024</w:t>
            </w:r>
          </w:p>
        </w:tc>
        <w:tc>
          <w:tcPr>
            <w:tcW w:w="1356" w:type="dxa"/>
            <w:tcBorders>
              <w:top w:val="nil"/>
              <w:left w:val="nil"/>
              <w:bottom w:val="nil"/>
              <w:right w:val="nil"/>
            </w:tcBorders>
            <w:shd w:val="clear" w:color="auto" w:fill="auto"/>
            <w:noWrap/>
            <w:vAlign w:val="bottom"/>
            <w:hideMark/>
          </w:tcPr>
          <w:p w14:paraId="4A154844" w14:textId="2745307E" w:rsidR="00104DD0" w:rsidRPr="00104DD0" w:rsidRDefault="00104DD0" w:rsidP="00104DD0">
            <w:pPr>
              <w:jc w:val="right"/>
            </w:pPr>
            <w:r w:rsidRPr="00104DD0">
              <w:t>0.523</w:t>
            </w:r>
          </w:p>
        </w:tc>
        <w:tc>
          <w:tcPr>
            <w:tcW w:w="1884" w:type="dxa"/>
            <w:tcBorders>
              <w:top w:val="nil"/>
              <w:left w:val="nil"/>
              <w:bottom w:val="nil"/>
              <w:right w:val="nil"/>
            </w:tcBorders>
            <w:shd w:val="clear" w:color="auto" w:fill="auto"/>
            <w:noWrap/>
            <w:vAlign w:val="bottom"/>
            <w:hideMark/>
          </w:tcPr>
          <w:p w14:paraId="2D8231F2" w14:textId="627B4260" w:rsidR="00104DD0" w:rsidRPr="00104DD0" w:rsidRDefault="00104DD0" w:rsidP="00104DD0">
            <w:pPr>
              <w:jc w:val="right"/>
            </w:pPr>
            <w:r w:rsidRPr="00104DD0">
              <w:t>123</w:t>
            </w:r>
          </w:p>
        </w:tc>
      </w:tr>
      <w:tr w:rsidR="00104DD0" w:rsidRPr="00B31A73" w14:paraId="79DAA7F0" w14:textId="77777777" w:rsidTr="00222567">
        <w:trPr>
          <w:trHeight w:val="260"/>
        </w:trPr>
        <w:tc>
          <w:tcPr>
            <w:tcW w:w="1710" w:type="dxa"/>
            <w:tcBorders>
              <w:top w:val="nil"/>
              <w:left w:val="nil"/>
              <w:bottom w:val="nil"/>
              <w:right w:val="nil"/>
            </w:tcBorders>
            <w:shd w:val="clear" w:color="auto" w:fill="auto"/>
            <w:noWrap/>
            <w:vAlign w:val="bottom"/>
            <w:hideMark/>
          </w:tcPr>
          <w:p w14:paraId="2AE08BE3" w14:textId="77777777" w:rsidR="00104DD0" w:rsidRPr="00B31A73" w:rsidRDefault="00104DD0" w:rsidP="00104DD0">
            <w:pPr>
              <w:jc w:val="center"/>
            </w:pPr>
            <w:r w:rsidRPr="00B31A73">
              <w:t>20</w:t>
            </w:r>
          </w:p>
        </w:tc>
        <w:tc>
          <w:tcPr>
            <w:tcW w:w="1419" w:type="dxa"/>
            <w:tcBorders>
              <w:top w:val="nil"/>
              <w:left w:val="nil"/>
              <w:bottom w:val="nil"/>
              <w:right w:val="nil"/>
            </w:tcBorders>
            <w:shd w:val="clear" w:color="auto" w:fill="auto"/>
            <w:noWrap/>
            <w:vAlign w:val="bottom"/>
            <w:hideMark/>
          </w:tcPr>
          <w:p w14:paraId="03634EC6" w14:textId="10F2BAFB" w:rsidR="00104DD0" w:rsidRPr="00104DD0" w:rsidRDefault="00104DD0" w:rsidP="00104DD0">
            <w:pPr>
              <w:jc w:val="right"/>
            </w:pPr>
            <w:r w:rsidRPr="00104DD0">
              <w:t>0.0452</w:t>
            </w:r>
          </w:p>
        </w:tc>
        <w:tc>
          <w:tcPr>
            <w:tcW w:w="1551" w:type="dxa"/>
            <w:tcBorders>
              <w:top w:val="nil"/>
              <w:left w:val="nil"/>
              <w:bottom w:val="nil"/>
              <w:right w:val="nil"/>
            </w:tcBorders>
            <w:shd w:val="clear" w:color="auto" w:fill="auto"/>
            <w:noWrap/>
            <w:vAlign w:val="bottom"/>
            <w:hideMark/>
          </w:tcPr>
          <w:p w14:paraId="13D1A41A" w14:textId="40049319" w:rsidR="00104DD0" w:rsidRPr="00104DD0" w:rsidRDefault="00104DD0" w:rsidP="00104DD0">
            <w:pPr>
              <w:jc w:val="right"/>
            </w:pPr>
            <w:r w:rsidRPr="00104DD0">
              <w:t>-0.0022</w:t>
            </w:r>
          </w:p>
        </w:tc>
        <w:tc>
          <w:tcPr>
            <w:tcW w:w="1356" w:type="dxa"/>
            <w:tcBorders>
              <w:top w:val="nil"/>
              <w:left w:val="nil"/>
              <w:bottom w:val="nil"/>
              <w:right w:val="nil"/>
            </w:tcBorders>
            <w:shd w:val="clear" w:color="auto" w:fill="auto"/>
            <w:noWrap/>
            <w:vAlign w:val="bottom"/>
            <w:hideMark/>
          </w:tcPr>
          <w:p w14:paraId="6C912653" w14:textId="34D235D8" w:rsidR="00104DD0" w:rsidRPr="00104DD0" w:rsidRDefault="00104DD0" w:rsidP="00104DD0">
            <w:pPr>
              <w:jc w:val="right"/>
            </w:pPr>
            <w:r w:rsidRPr="00104DD0">
              <w:t>0.587</w:t>
            </w:r>
          </w:p>
        </w:tc>
        <w:tc>
          <w:tcPr>
            <w:tcW w:w="1884" w:type="dxa"/>
            <w:tcBorders>
              <w:top w:val="nil"/>
              <w:left w:val="nil"/>
              <w:bottom w:val="nil"/>
              <w:right w:val="nil"/>
            </w:tcBorders>
            <w:shd w:val="clear" w:color="auto" w:fill="auto"/>
            <w:noWrap/>
            <w:vAlign w:val="bottom"/>
            <w:hideMark/>
          </w:tcPr>
          <w:p w14:paraId="177836CA" w14:textId="62AFC3A6" w:rsidR="00104DD0" w:rsidRPr="00104DD0" w:rsidRDefault="00104DD0" w:rsidP="00104DD0">
            <w:pPr>
              <w:jc w:val="right"/>
            </w:pPr>
            <w:r w:rsidRPr="00104DD0">
              <w:t>118</w:t>
            </w:r>
          </w:p>
        </w:tc>
      </w:tr>
      <w:tr w:rsidR="00104DD0" w:rsidRPr="00B31A73" w14:paraId="65542977" w14:textId="77777777" w:rsidTr="00222567">
        <w:trPr>
          <w:trHeight w:val="260"/>
        </w:trPr>
        <w:tc>
          <w:tcPr>
            <w:tcW w:w="1710" w:type="dxa"/>
            <w:tcBorders>
              <w:top w:val="nil"/>
              <w:left w:val="nil"/>
              <w:bottom w:val="nil"/>
              <w:right w:val="nil"/>
            </w:tcBorders>
            <w:shd w:val="clear" w:color="auto" w:fill="auto"/>
            <w:noWrap/>
            <w:vAlign w:val="bottom"/>
            <w:hideMark/>
          </w:tcPr>
          <w:p w14:paraId="5469AA1B" w14:textId="77777777" w:rsidR="00104DD0" w:rsidRPr="00B31A73" w:rsidRDefault="00104DD0" w:rsidP="00104DD0">
            <w:pPr>
              <w:jc w:val="center"/>
            </w:pPr>
            <w:r w:rsidRPr="00B31A73">
              <w:t>25</w:t>
            </w:r>
          </w:p>
        </w:tc>
        <w:tc>
          <w:tcPr>
            <w:tcW w:w="1419" w:type="dxa"/>
            <w:tcBorders>
              <w:top w:val="nil"/>
              <w:left w:val="nil"/>
              <w:bottom w:val="nil"/>
              <w:right w:val="nil"/>
            </w:tcBorders>
            <w:shd w:val="clear" w:color="auto" w:fill="auto"/>
            <w:noWrap/>
            <w:vAlign w:val="bottom"/>
            <w:hideMark/>
          </w:tcPr>
          <w:p w14:paraId="74AFBAD4" w14:textId="51E355DD" w:rsidR="00104DD0" w:rsidRPr="00104DD0" w:rsidRDefault="00104DD0" w:rsidP="00104DD0">
            <w:pPr>
              <w:jc w:val="right"/>
            </w:pPr>
            <w:r w:rsidRPr="00104DD0">
              <w:t>0.0440</w:t>
            </w:r>
          </w:p>
        </w:tc>
        <w:tc>
          <w:tcPr>
            <w:tcW w:w="1551" w:type="dxa"/>
            <w:tcBorders>
              <w:top w:val="nil"/>
              <w:left w:val="nil"/>
              <w:bottom w:val="nil"/>
              <w:right w:val="nil"/>
            </w:tcBorders>
            <w:shd w:val="clear" w:color="auto" w:fill="auto"/>
            <w:noWrap/>
            <w:vAlign w:val="bottom"/>
            <w:hideMark/>
          </w:tcPr>
          <w:p w14:paraId="149F3BDF" w14:textId="5D378B3D" w:rsidR="00104DD0" w:rsidRPr="00104DD0" w:rsidRDefault="00104DD0" w:rsidP="00104DD0">
            <w:pPr>
              <w:jc w:val="right"/>
            </w:pPr>
            <w:r w:rsidRPr="00104DD0">
              <w:t>-0.0020</w:t>
            </w:r>
          </w:p>
        </w:tc>
        <w:tc>
          <w:tcPr>
            <w:tcW w:w="1356" w:type="dxa"/>
            <w:tcBorders>
              <w:top w:val="nil"/>
              <w:left w:val="nil"/>
              <w:bottom w:val="nil"/>
              <w:right w:val="nil"/>
            </w:tcBorders>
            <w:shd w:val="clear" w:color="auto" w:fill="auto"/>
            <w:noWrap/>
            <w:vAlign w:val="bottom"/>
            <w:hideMark/>
          </w:tcPr>
          <w:p w14:paraId="3BC8A05F" w14:textId="201E1676" w:rsidR="00104DD0" w:rsidRPr="00104DD0" w:rsidRDefault="00104DD0" w:rsidP="00104DD0">
            <w:pPr>
              <w:jc w:val="right"/>
            </w:pPr>
            <w:r w:rsidRPr="00104DD0">
              <w:t>0.574</w:t>
            </w:r>
          </w:p>
        </w:tc>
        <w:tc>
          <w:tcPr>
            <w:tcW w:w="1884" w:type="dxa"/>
            <w:tcBorders>
              <w:top w:val="nil"/>
              <w:left w:val="nil"/>
              <w:bottom w:val="nil"/>
              <w:right w:val="nil"/>
            </w:tcBorders>
            <w:shd w:val="clear" w:color="auto" w:fill="auto"/>
            <w:noWrap/>
            <w:vAlign w:val="bottom"/>
            <w:hideMark/>
          </w:tcPr>
          <w:p w14:paraId="1ABD257F" w14:textId="54C86560" w:rsidR="00104DD0" w:rsidRPr="00104DD0" w:rsidRDefault="00104DD0" w:rsidP="00104DD0">
            <w:pPr>
              <w:jc w:val="right"/>
            </w:pPr>
            <w:r w:rsidRPr="00104DD0">
              <w:t>113</w:t>
            </w:r>
          </w:p>
        </w:tc>
      </w:tr>
      <w:tr w:rsidR="00104DD0" w:rsidRPr="00B31A73" w14:paraId="0D746D18" w14:textId="77777777" w:rsidTr="00222567">
        <w:trPr>
          <w:trHeight w:val="260"/>
        </w:trPr>
        <w:tc>
          <w:tcPr>
            <w:tcW w:w="1710" w:type="dxa"/>
            <w:tcBorders>
              <w:top w:val="nil"/>
              <w:left w:val="nil"/>
              <w:bottom w:val="nil"/>
              <w:right w:val="nil"/>
            </w:tcBorders>
            <w:shd w:val="clear" w:color="auto" w:fill="auto"/>
            <w:noWrap/>
            <w:vAlign w:val="bottom"/>
            <w:hideMark/>
          </w:tcPr>
          <w:p w14:paraId="68C79A23" w14:textId="77777777" w:rsidR="00104DD0" w:rsidRPr="00B31A73" w:rsidRDefault="00104DD0" w:rsidP="00104DD0">
            <w:pPr>
              <w:jc w:val="center"/>
            </w:pPr>
            <w:r w:rsidRPr="00B31A73">
              <w:t>30</w:t>
            </w:r>
          </w:p>
        </w:tc>
        <w:tc>
          <w:tcPr>
            <w:tcW w:w="1419" w:type="dxa"/>
            <w:tcBorders>
              <w:top w:val="nil"/>
              <w:left w:val="nil"/>
              <w:bottom w:val="nil"/>
              <w:right w:val="nil"/>
            </w:tcBorders>
            <w:shd w:val="clear" w:color="auto" w:fill="auto"/>
            <w:noWrap/>
            <w:vAlign w:val="bottom"/>
            <w:hideMark/>
          </w:tcPr>
          <w:p w14:paraId="4C711DBC" w14:textId="5D75DBCE" w:rsidR="00104DD0" w:rsidRPr="00104DD0" w:rsidRDefault="00104DD0" w:rsidP="00104DD0">
            <w:pPr>
              <w:jc w:val="right"/>
            </w:pPr>
            <w:r w:rsidRPr="00104DD0">
              <w:t>0.0433</w:t>
            </w:r>
          </w:p>
        </w:tc>
        <w:tc>
          <w:tcPr>
            <w:tcW w:w="1551" w:type="dxa"/>
            <w:tcBorders>
              <w:top w:val="nil"/>
              <w:left w:val="nil"/>
              <w:bottom w:val="nil"/>
              <w:right w:val="nil"/>
            </w:tcBorders>
            <w:shd w:val="clear" w:color="auto" w:fill="auto"/>
            <w:noWrap/>
            <w:vAlign w:val="bottom"/>
            <w:hideMark/>
          </w:tcPr>
          <w:p w14:paraId="2A8E9A27" w14:textId="457B90E0" w:rsidR="00104DD0" w:rsidRPr="00104DD0" w:rsidRDefault="00104DD0" w:rsidP="00104DD0">
            <w:pPr>
              <w:jc w:val="right"/>
            </w:pPr>
            <w:r w:rsidRPr="00104DD0">
              <w:t>-0.0018</w:t>
            </w:r>
          </w:p>
        </w:tc>
        <w:tc>
          <w:tcPr>
            <w:tcW w:w="1356" w:type="dxa"/>
            <w:tcBorders>
              <w:top w:val="nil"/>
              <w:left w:val="nil"/>
              <w:bottom w:val="nil"/>
              <w:right w:val="nil"/>
            </w:tcBorders>
            <w:shd w:val="clear" w:color="auto" w:fill="auto"/>
            <w:noWrap/>
            <w:vAlign w:val="bottom"/>
            <w:hideMark/>
          </w:tcPr>
          <w:p w14:paraId="3BBC9060" w14:textId="15CC02CB" w:rsidR="00104DD0" w:rsidRPr="00104DD0" w:rsidRDefault="00104DD0" w:rsidP="00104DD0">
            <w:pPr>
              <w:jc w:val="right"/>
            </w:pPr>
            <w:r w:rsidRPr="00104DD0">
              <w:t>0.525</w:t>
            </w:r>
          </w:p>
        </w:tc>
        <w:tc>
          <w:tcPr>
            <w:tcW w:w="1884" w:type="dxa"/>
            <w:tcBorders>
              <w:top w:val="nil"/>
              <w:left w:val="nil"/>
              <w:bottom w:val="nil"/>
              <w:right w:val="nil"/>
            </w:tcBorders>
            <w:shd w:val="clear" w:color="auto" w:fill="auto"/>
            <w:noWrap/>
            <w:vAlign w:val="bottom"/>
            <w:hideMark/>
          </w:tcPr>
          <w:p w14:paraId="4BFB9448" w14:textId="1B73D530" w:rsidR="00104DD0" w:rsidRPr="00104DD0" w:rsidRDefault="00104DD0" w:rsidP="00104DD0">
            <w:pPr>
              <w:jc w:val="right"/>
            </w:pPr>
            <w:r w:rsidRPr="00104DD0">
              <w:t>108</w:t>
            </w:r>
          </w:p>
        </w:tc>
      </w:tr>
      <w:tr w:rsidR="00B872AC" w:rsidRPr="00B31A73" w14:paraId="7DAE6AA6" w14:textId="77777777" w:rsidTr="00222567">
        <w:trPr>
          <w:trHeight w:val="260"/>
        </w:trPr>
        <w:tc>
          <w:tcPr>
            <w:tcW w:w="1710" w:type="dxa"/>
            <w:tcBorders>
              <w:top w:val="nil"/>
              <w:left w:val="nil"/>
              <w:bottom w:val="nil"/>
              <w:right w:val="nil"/>
            </w:tcBorders>
            <w:shd w:val="clear" w:color="auto" w:fill="auto"/>
            <w:noWrap/>
            <w:vAlign w:val="bottom"/>
            <w:hideMark/>
          </w:tcPr>
          <w:p w14:paraId="4689EA84" w14:textId="77777777" w:rsidR="00B872AC" w:rsidRPr="00B31A73" w:rsidRDefault="00B872AC" w:rsidP="00222567">
            <w:pPr>
              <w:jc w:val="right"/>
            </w:pPr>
          </w:p>
        </w:tc>
        <w:tc>
          <w:tcPr>
            <w:tcW w:w="1419" w:type="dxa"/>
            <w:tcBorders>
              <w:top w:val="nil"/>
              <w:left w:val="nil"/>
              <w:bottom w:val="nil"/>
              <w:right w:val="nil"/>
            </w:tcBorders>
            <w:shd w:val="clear" w:color="auto" w:fill="auto"/>
            <w:noWrap/>
            <w:vAlign w:val="bottom"/>
            <w:hideMark/>
          </w:tcPr>
          <w:p w14:paraId="33F697A8" w14:textId="77777777" w:rsidR="00B872AC" w:rsidRPr="00B31A73" w:rsidRDefault="00B872AC" w:rsidP="00222567">
            <w:pPr>
              <w:jc w:val="center"/>
            </w:pPr>
          </w:p>
        </w:tc>
        <w:tc>
          <w:tcPr>
            <w:tcW w:w="1551" w:type="dxa"/>
            <w:tcBorders>
              <w:top w:val="nil"/>
              <w:left w:val="nil"/>
              <w:bottom w:val="nil"/>
              <w:right w:val="nil"/>
            </w:tcBorders>
            <w:shd w:val="clear" w:color="auto" w:fill="auto"/>
            <w:noWrap/>
            <w:vAlign w:val="bottom"/>
            <w:hideMark/>
          </w:tcPr>
          <w:p w14:paraId="1624C95F"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1C4E03FA"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77FB45B7" w14:textId="77777777" w:rsidR="00B872AC" w:rsidRPr="00B31A73" w:rsidRDefault="00B872AC" w:rsidP="00222567"/>
        </w:tc>
      </w:tr>
      <w:tr w:rsidR="00B872AC" w:rsidRPr="00B31A73" w14:paraId="2856F161" w14:textId="77777777" w:rsidTr="00222567">
        <w:trPr>
          <w:trHeight w:val="260"/>
        </w:trPr>
        <w:tc>
          <w:tcPr>
            <w:tcW w:w="1710" w:type="dxa"/>
            <w:tcBorders>
              <w:top w:val="nil"/>
              <w:left w:val="nil"/>
              <w:bottom w:val="nil"/>
              <w:right w:val="nil"/>
            </w:tcBorders>
            <w:shd w:val="clear" w:color="auto" w:fill="auto"/>
            <w:noWrap/>
            <w:vAlign w:val="bottom"/>
            <w:hideMark/>
          </w:tcPr>
          <w:p w14:paraId="273E552C"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1D563DFF"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10951E48"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43B75DF0"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6C9B995A" w14:textId="77777777" w:rsidR="00B872AC" w:rsidRPr="00B31A73" w:rsidRDefault="00B872AC" w:rsidP="00222567"/>
        </w:tc>
      </w:tr>
      <w:tr w:rsidR="00B872AC" w:rsidRPr="00B31A73" w14:paraId="0E952795" w14:textId="77777777" w:rsidTr="00222567">
        <w:trPr>
          <w:trHeight w:val="260"/>
        </w:trPr>
        <w:tc>
          <w:tcPr>
            <w:tcW w:w="1710" w:type="dxa"/>
            <w:tcBorders>
              <w:top w:val="nil"/>
              <w:left w:val="nil"/>
              <w:bottom w:val="nil"/>
              <w:right w:val="nil"/>
            </w:tcBorders>
            <w:shd w:val="clear" w:color="auto" w:fill="auto"/>
            <w:noWrap/>
            <w:vAlign w:val="bottom"/>
            <w:hideMark/>
          </w:tcPr>
          <w:p w14:paraId="2A76EE6E"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2FA5C3C9"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0554B6FC"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1DFCA788"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00B3D8EA" w14:textId="77777777" w:rsidR="00B872AC" w:rsidRPr="00B31A73" w:rsidRDefault="00B872AC" w:rsidP="00222567"/>
        </w:tc>
      </w:tr>
      <w:tr w:rsidR="00B872AC" w:rsidRPr="00B31A73" w14:paraId="22ED9D5A" w14:textId="77777777" w:rsidTr="00222567">
        <w:trPr>
          <w:trHeight w:val="260"/>
        </w:trPr>
        <w:tc>
          <w:tcPr>
            <w:tcW w:w="1710" w:type="dxa"/>
            <w:tcBorders>
              <w:top w:val="nil"/>
              <w:left w:val="nil"/>
              <w:bottom w:val="nil"/>
              <w:right w:val="nil"/>
            </w:tcBorders>
            <w:shd w:val="clear" w:color="auto" w:fill="auto"/>
            <w:noWrap/>
            <w:vAlign w:val="bottom"/>
            <w:hideMark/>
          </w:tcPr>
          <w:p w14:paraId="0B1C36CE"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546F3A3D"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4A1A1D99"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66EE5A3C"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61089FF6" w14:textId="77777777" w:rsidR="00B872AC" w:rsidRPr="00B31A73" w:rsidRDefault="00B872AC" w:rsidP="00222567"/>
        </w:tc>
      </w:tr>
      <w:tr w:rsidR="00B872AC" w:rsidRPr="00B31A73" w14:paraId="4CC7F5BB" w14:textId="77777777" w:rsidTr="00222567">
        <w:trPr>
          <w:trHeight w:val="260"/>
        </w:trPr>
        <w:tc>
          <w:tcPr>
            <w:tcW w:w="1710" w:type="dxa"/>
            <w:tcBorders>
              <w:top w:val="nil"/>
              <w:left w:val="nil"/>
              <w:bottom w:val="nil"/>
              <w:right w:val="nil"/>
            </w:tcBorders>
            <w:shd w:val="clear" w:color="auto" w:fill="auto"/>
            <w:noWrap/>
            <w:vAlign w:val="bottom"/>
            <w:hideMark/>
          </w:tcPr>
          <w:p w14:paraId="10BA3846" w14:textId="77777777" w:rsidR="00B872AC" w:rsidRPr="00B31A73" w:rsidRDefault="00B872AC" w:rsidP="00222567">
            <w:pPr>
              <w:jc w:val="center"/>
            </w:pPr>
          </w:p>
        </w:tc>
        <w:tc>
          <w:tcPr>
            <w:tcW w:w="6210" w:type="dxa"/>
            <w:gridSpan w:val="4"/>
            <w:tcBorders>
              <w:top w:val="nil"/>
              <w:left w:val="nil"/>
              <w:bottom w:val="single" w:sz="4" w:space="0" w:color="auto"/>
              <w:right w:val="nil"/>
            </w:tcBorders>
            <w:shd w:val="clear" w:color="auto" w:fill="auto"/>
            <w:noWrap/>
            <w:vAlign w:val="bottom"/>
            <w:hideMark/>
          </w:tcPr>
          <w:p w14:paraId="530DA035" w14:textId="77777777" w:rsidR="00B872AC" w:rsidRPr="00B31A73" w:rsidRDefault="00B872AC" w:rsidP="00222567">
            <w:pPr>
              <w:jc w:val="center"/>
            </w:pPr>
            <w:r w:rsidRPr="00B31A73">
              <w:t xml:space="preserve">Dataset from 1926 </w:t>
            </w:r>
            <w:proofErr w:type="gramStart"/>
            <w:r w:rsidRPr="00B31A73">
              <w:t>-  (</w:t>
            </w:r>
            <w:proofErr w:type="gramEnd"/>
            <w:r w:rsidRPr="00B31A73">
              <w:t>add 9 for ERS)</w:t>
            </w:r>
          </w:p>
        </w:tc>
      </w:tr>
      <w:tr w:rsidR="00104DD0" w:rsidRPr="00B31A73" w14:paraId="23571386" w14:textId="77777777" w:rsidTr="00222567">
        <w:trPr>
          <w:trHeight w:val="260"/>
        </w:trPr>
        <w:tc>
          <w:tcPr>
            <w:tcW w:w="1710" w:type="dxa"/>
            <w:tcBorders>
              <w:top w:val="nil"/>
              <w:left w:val="nil"/>
              <w:bottom w:val="nil"/>
              <w:right w:val="nil"/>
            </w:tcBorders>
            <w:shd w:val="clear" w:color="auto" w:fill="auto"/>
            <w:noWrap/>
            <w:vAlign w:val="bottom"/>
            <w:hideMark/>
          </w:tcPr>
          <w:p w14:paraId="2E2AF707" w14:textId="77777777" w:rsidR="00104DD0" w:rsidRPr="00B31A73" w:rsidRDefault="00104DD0" w:rsidP="00104DD0">
            <w:pPr>
              <w:jc w:val="center"/>
            </w:pPr>
            <w:r w:rsidRPr="00B31A73">
              <w:t>5</w:t>
            </w:r>
          </w:p>
        </w:tc>
        <w:tc>
          <w:tcPr>
            <w:tcW w:w="1419" w:type="dxa"/>
            <w:tcBorders>
              <w:top w:val="nil"/>
              <w:left w:val="nil"/>
              <w:bottom w:val="nil"/>
              <w:right w:val="nil"/>
            </w:tcBorders>
            <w:shd w:val="clear" w:color="auto" w:fill="auto"/>
            <w:noWrap/>
            <w:vAlign w:val="bottom"/>
            <w:hideMark/>
          </w:tcPr>
          <w:p w14:paraId="41539731" w14:textId="19DEAA9C" w:rsidR="00104DD0" w:rsidRPr="00104DD0" w:rsidRDefault="00104DD0" w:rsidP="00104DD0">
            <w:pPr>
              <w:jc w:val="right"/>
            </w:pPr>
            <w:r w:rsidRPr="00104DD0">
              <w:t>0.0508</w:t>
            </w:r>
          </w:p>
        </w:tc>
        <w:tc>
          <w:tcPr>
            <w:tcW w:w="1551" w:type="dxa"/>
            <w:tcBorders>
              <w:top w:val="nil"/>
              <w:left w:val="nil"/>
              <w:bottom w:val="nil"/>
              <w:right w:val="nil"/>
            </w:tcBorders>
            <w:shd w:val="clear" w:color="auto" w:fill="auto"/>
            <w:noWrap/>
            <w:vAlign w:val="bottom"/>
            <w:hideMark/>
          </w:tcPr>
          <w:p w14:paraId="3EDC0FDD" w14:textId="5D38CD6E" w:rsidR="00104DD0" w:rsidRPr="00104DD0" w:rsidRDefault="00104DD0" w:rsidP="00104DD0">
            <w:pPr>
              <w:jc w:val="right"/>
            </w:pPr>
            <w:r w:rsidRPr="00104DD0">
              <w:t>-0.0031</w:t>
            </w:r>
          </w:p>
        </w:tc>
        <w:tc>
          <w:tcPr>
            <w:tcW w:w="1356" w:type="dxa"/>
            <w:tcBorders>
              <w:top w:val="nil"/>
              <w:left w:val="nil"/>
              <w:bottom w:val="nil"/>
              <w:right w:val="nil"/>
            </w:tcBorders>
            <w:shd w:val="clear" w:color="auto" w:fill="auto"/>
            <w:noWrap/>
            <w:vAlign w:val="bottom"/>
            <w:hideMark/>
          </w:tcPr>
          <w:p w14:paraId="1B595BB1" w14:textId="6554A9C5" w:rsidR="00104DD0" w:rsidRPr="00104DD0" w:rsidRDefault="00104DD0" w:rsidP="00104DD0">
            <w:pPr>
              <w:jc w:val="right"/>
            </w:pPr>
            <w:r w:rsidRPr="00104DD0">
              <w:t>0.306</w:t>
            </w:r>
          </w:p>
        </w:tc>
        <w:tc>
          <w:tcPr>
            <w:tcW w:w="1884" w:type="dxa"/>
            <w:tcBorders>
              <w:top w:val="nil"/>
              <w:left w:val="nil"/>
              <w:bottom w:val="nil"/>
              <w:right w:val="nil"/>
            </w:tcBorders>
            <w:shd w:val="clear" w:color="auto" w:fill="auto"/>
            <w:noWrap/>
            <w:vAlign w:val="bottom"/>
            <w:hideMark/>
          </w:tcPr>
          <w:p w14:paraId="4E1F56F0" w14:textId="6D2BA0AE" w:rsidR="00104DD0" w:rsidRPr="00104DD0" w:rsidRDefault="00104DD0" w:rsidP="00104DD0">
            <w:pPr>
              <w:jc w:val="right"/>
            </w:pPr>
            <w:r w:rsidRPr="00104DD0">
              <w:t>88</w:t>
            </w:r>
          </w:p>
        </w:tc>
      </w:tr>
      <w:tr w:rsidR="00104DD0" w:rsidRPr="00B31A73" w14:paraId="17093933" w14:textId="77777777" w:rsidTr="00222567">
        <w:trPr>
          <w:trHeight w:val="260"/>
        </w:trPr>
        <w:tc>
          <w:tcPr>
            <w:tcW w:w="1710" w:type="dxa"/>
            <w:tcBorders>
              <w:top w:val="nil"/>
              <w:left w:val="nil"/>
              <w:bottom w:val="nil"/>
              <w:right w:val="nil"/>
            </w:tcBorders>
            <w:shd w:val="clear" w:color="auto" w:fill="auto"/>
            <w:noWrap/>
            <w:vAlign w:val="bottom"/>
            <w:hideMark/>
          </w:tcPr>
          <w:p w14:paraId="5E94C974" w14:textId="77777777" w:rsidR="00104DD0" w:rsidRPr="00B31A73" w:rsidRDefault="00104DD0" w:rsidP="00104DD0">
            <w:pPr>
              <w:jc w:val="center"/>
            </w:pPr>
            <w:r w:rsidRPr="00B31A73">
              <w:t>10</w:t>
            </w:r>
          </w:p>
        </w:tc>
        <w:tc>
          <w:tcPr>
            <w:tcW w:w="1419" w:type="dxa"/>
            <w:tcBorders>
              <w:top w:val="nil"/>
              <w:left w:val="nil"/>
              <w:bottom w:val="nil"/>
              <w:right w:val="nil"/>
            </w:tcBorders>
            <w:shd w:val="clear" w:color="auto" w:fill="auto"/>
            <w:noWrap/>
            <w:vAlign w:val="bottom"/>
            <w:hideMark/>
          </w:tcPr>
          <w:p w14:paraId="0D0155D0" w14:textId="10170B8E" w:rsidR="00104DD0" w:rsidRPr="00104DD0" w:rsidRDefault="00104DD0" w:rsidP="00104DD0">
            <w:pPr>
              <w:jc w:val="right"/>
            </w:pPr>
            <w:r w:rsidRPr="00104DD0">
              <w:t>0.0529</w:t>
            </w:r>
          </w:p>
        </w:tc>
        <w:tc>
          <w:tcPr>
            <w:tcW w:w="1551" w:type="dxa"/>
            <w:tcBorders>
              <w:top w:val="nil"/>
              <w:left w:val="nil"/>
              <w:bottom w:val="nil"/>
              <w:right w:val="nil"/>
            </w:tcBorders>
            <w:shd w:val="clear" w:color="auto" w:fill="auto"/>
            <w:noWrap/>
            <w:vAlign w:val="bottom"/>
            <w:hideMark/>
          </w:tcPr>
          <w:p w14:paraId="0745CAE8" w14:textId="5A2DFD03" w:rsidR="00104DD0" w:rsidRPr="00104DD0" w:rsidRDefault="00104DD0" w:rsidP="00104DD0">
            <w:pPr>
              <w:jc w:val="right"/>
            </w:pPr>
            <w:r w:rsidRPr="00104DD0">
              <w:t>-0.0029</w:t>
            </w:r>
          </w:p>
        </w:tc>
        <w:tc>
          <w:tcPr>
            <w:tcW w:w="1356" w:type="dxa"/>
            <w:tcBorders>
              <w:top w:val="nil"/>
              <w:left w:val="nil"/>
              <w:bottom w:val="nil"/>
              <w:right w:val="nil"/>
            </w:tcBorders>
            <w:shd w:val="clear" w:color="auto" w:fill="auto"/>
            <w:noWrap/>
            <w:vAlign w:val="bottom"/>
            <w:hideMark/>
          </w:tcPr>
          <w:p w14:paraId="1B85DE8E" w14:textId="6E654F4B" w:rsidR="00104DD0" w:rsidRPr="00104DD0" w:rsidRDefault="00104DD0" w:rsidP="00104DD0">
            <w:pPr>
              <w:jc w:val="right"/>
            </w:pPr>
            <w:r w:rsidRPr="00104DD0">
              <w:t>0.589</w:t>
            </w:r>
          </w:p>
        </w:tc>
        <w:tc>
          <w:tcPr>
            <w:tcW w:w="1884" w:type="dxa"/>
            <w:tcBorders>
              <w:top w:val="nil"/>
              <w:left w:val="nil"/>
              <w:bottom w:val="nil"/>
              <w:right w:val="nil"/>
            </w:tcBorders>
            <w:shd w:val="clear" w:color="auto" w:fill="auto"/>
            <w:noWrap/>
            <w:vAlign w:val="bottom"/>
            <w:hideMark/>
          </w:tcPr>
          <w:p w14:paraId="79B7B0DE" w14:textId="72EFBEF1" w:rsidR="00104DD0" w:rsidRPr="00104DD0" w:rsidRDefault="00104DD0" w:rsidP="00104DD0">
            <w:pPr>
              <w:jc w:val="right"/>
            </w:pPr>
            <w:r w:rsidRPr="00104DD0">
              <w:t>83</w:t>
            </w:r>
          </w:p>
        </w:tc>
      </w:tr>
      <w:tr w:rsidR="00104DD0" w:rsidRPr="00B31A73" w14:paraId="3F0BDD24" w14:textId="77777777" w:rsidTr="00222567">
        <w:trPr>
          <w:trHeight w:val="260"/>
        </w:trPr>
        <w:tc>
          <w:tcPr>
            <w:tcW w:w="1710" w:type="dxa"/>
            <w:tcBorders>
              <w:top w:val="nil"/>
              <w:left w:val="nil"/>
              <w:bottom w:val="nil"/>
              <w:right w:val="nil"/>
            </w:tcBorders>
            <w:shd w:val="clear" w:color="auto" w:fill="auto"/>
            <w:noWrap/>
            <w:vAlign w:val="bottom"/>
            <w:hideMark/>
          </w:tcPr>
          <w:p w14:paraId="57E41971" w14:textId="77777777" w:rsidR="00104DD0" w:rsidRPr="00B31A73" w:rsidRDefault="00104DD0" w:rsidP="00104DD0">
            <w:pPr>
              <w:jc w:val="center"/>
            </w:pPr>
            <w:r w:rsidRPr="00B31A73">
              <w:t>15</w:t>
            </w:r>
          </w:p>
        </w:tc>
        <w:tc>
          <w:tcPr>
            <w:tcW w:w="1419" w:type="dxa"/>
            <w:tcBorders>
              <w:top w:val="nil"/>
              <w:left w:val="nil"/>
              <w:bottom w:val="nil"/>
              <w:right w:val="nil"/>
            </w:tcBorders>
            <w:shd w:val="clear" w:color="auto" w:fill="auto"/>
            <w:noWrap/>
            <w:vAlign w:val="bottom"/>
            <w:hideMark/>
          </w:tcPr>
          <w:p w14:paraId="64B0DB91" w14:textId="44BAA17B" w:rsidR="00104DD0" w:rsidRPr="00104DD0" w:rsidRDefault="00104DD0" w:rsidP="00104DD0">
            <w:pPr>
              <w:jc w:val="right"/>
            </w:pPr>
            <w:r w:rsidRPr="00104DD0">
              <w:t>0.0528</w:t>
            </w:r>
          </w:p>
        </w:tc>
        <w:tc>
          <w:tcPr>
            <w:tcW w:w="1551" w:type="dxa"/>
            <w:tcBorders>
              <w:top w:val="nil"/>
              <w:left w:val="nil"/>
              <w:bottom w:val="nil"/>
              <w:right w:val="nil"/>
            </w:tcBorders>
            <w:shd w:val="clear" w:color="auto" w:fill="auto"/>
            <w:noWrap/>
            <w:vAlign w:val="bottom"/>
            <w:hideMark/>
          </w:tcPr>
          <w:p w14:paraId="6FE42982" w14:textId="7746065A" w:rsidR="00104DD0" w:rsidRPr="00104DD0" w:rsidRDefault="00104DD0" w:rsidP="00104DD0">
            <w:pPr>
              <w:jc w:val="right"/>
            </w:pPr>
            <w:r w:rsidRPr="00104DD0">
              <w:t>-0.0026</w:t>
            </w:r>
          </w:p>
        </w:tc>
        <w:tc>
          <w:tcPr>
            <w:tcW w:w="1356" w:type="dxa"/>
            <w:tcBorders>
              <w:top w:val="nil"/>
              <w:left w:val="nil"/>
              <w:bottom w:val="nil"/>
              <w:right w:val="nil"/>
            </w:tcBorders>
            <w:shd w:val="clear" w:color="auto" w:fill="auto"/>
            <w:noWrap/>
            <w:vAlign w:val="bottom"/>
            <w:hideMark/>
          </w:tcPr>
          <w:p w14:paraId="1F194648" w14:textId="31746FC6" w:rsidR="00104DD0" w:rsidRPr="00104DD0" w:rsidRDefault="00104DD0" w:rsidP="00104DD0">
            <w:pPr>
              <w:jc w:val="right"/>
            </w:pPr>
            <w:r w:rsidRPr="00104DD0">
              <w:t>0.694</w:t>
            </w:r>
          </w:p>
        </w:tc>
        <w:tc>
          <w:tcPr>
            <w:tcW w:w="1884" w:type="dxa"/>
            <w:tcBorders>
              <w:top w:val="nil"/>
              <w:left w:val="nil"/>
              <w:bottom w:val="nil"/>
              <w:right w:val="nil"/>
            </w:tcBorders>
            <w:shd w:val="clear" w:color="auto" w:fill="auto"/>
            <w:noWrap/>
            <w:vAlign w:val="bottom"/>
            <w:hideMark/>
          </w:tcPr>
          <w:p w14:paraId="27A9FAEB" w14:textId="61A252CD" w:rsidR="00104DD0" w:rsidRPr="00104DD0" w:rsidRDefault="00104DD0" w:rsidP="00104DD0">
            <w:pPr>
              <w:jc w:val="right"/>
            </w:pPr>
            <w:r w:rsidRPr="00104DD0">
              <w:t>78</w:t>
            </w:r>
          </w:p>
        </w:tc>
      </w:tr>
      <w:tr w:rsidR="00104DD0" w:rsidRPr="00B31A73" w14:paraId="1E154C03" w14:textId="77777777" w:rsidTr="00222567">
        <w:trPr>
          <w:trHeight w:val="260"/>
        </w:trPr>
        <w:tc>
          <w:tcPr>
            <w:tcW w:w="1710" w:type="dxa"/>
            <w:tcBorders>
              <w:top w:val="nil"/>
              <w:left w:val="nil"/>
              <w:bottom w:val="nil"/>
              <w:right w:val="nil"/>
            </w:tcBorders>
            <w:shd w:val="clear" w:color="auto" w:fill="auto"/>
            <w:noWrap/>
            <w:vAlign w:val="bottom"/>
            <w:hideMark/>
          </w:tcPr>
          <w:p w14:paraId="452F8AC4" w14:textId="77777777" w:rsidR="00104DD0" w:rsidRPr="00B31A73" w:rsidRDefault="00104DD0" w:rsidP="00104DD0">
            <w:pPr>
              <w:jc w:val="center"/>
            </w:pPr>
            <w:r w:rsidRPr="00B31A73">
              <w:t>20</w:t>
            </w:r>
          </w:p>
        </w:tc>
        <w:tc>
          <w:tcPr>
            <w:tcW w:w="1419" w:type="dxa"/>
            <w:tcBorders>
              <w:top w:val="nil"/>
              <w:left w:val="nil"/>
              <w:bottom w:val="nil"/>
              <w:right w:val="nil"/>
            </w:tcBorders>
            <w:shd w:val="clear" w:color="auto" w:fill="auto"/>
            <w:noWrap/>
            <w:vAlign w:val="bottom"/>
            <w:hideMark/>
          </w:tcPr>
          <w:p w14:paraId="4BEB4F21" w14:textId="21A037B0" w:rsidR="00104DD0" w:rsidRPr="00104DD0" w:rsidRDefault="00104DD0" w:rsidP="00104DD0">
            <w:pPr>
              <w:jc w:val="right"/>
            </w:pPr>
            <w:r w:rsidRPr="00104DD0">
              <w:t>0.0524</w:t>
            </w:r>
          </w:p>
        </w:tc>
        <w:tc>
          <w:tcPr>
            <w:tcW w:w="1551" w:type="dxa"/>
            <w:tcBorders>
              <w:top w:val="nil"/>
              <w:left w:val="nil"/>
              <w:bottom w:val="nil"/>
              <w:right w:val="nil"/>
            </w:tcBorders>
            <w:shd w:val="clear" w:color="auto" w:fill="auto"/>
            <w:noWrap/>
            <w:vAlign w:val="bottom"/>
            <w:hideMark/>
          </w:tcPr>
          <w:p w14:paraId="1D477B3C" w14:textId="0291701E" w:rsidR="00104DD0" w:rsidRPr="00104DD0" w:rsidRDefault="00104DD0" w:rsidP="00104DD0">
            <w:pPr>
              <w:jc w:val="right"/>
            </w:pPr>
            <w:r w:rsidRPr="00104DD0">
              <w:t>-0.0024</w:t>
            </w:r>
          </w:p>
        </w:tc>
        <w:tc>
          <w:tcPr>
            <w:tcW w:w="1356" w:type="dxa"/>
            <w:tcBorders>
              <w:top w:val="nil"/>
              <w:left w:val="nil"/>
              <w:bottom w:val="nil"/>
              <w:right w:val="nil"/>
            </w:tcBorders>
            <w:shd w:val="clear" w:color="auto" w:fill="auto"/>
            <w:noWrap/>
            <w:vAlign w:val="bottom"/>
            <w:hideMark/>
          </w:tcPr>
          <w:p w14:paraId="5A4F62E5" w14:textId="703FFEB6" w:rsidR="00104DD0" w:rsidRPr="00104DD0" w:rsidRDefault="00104DD0" w:rsidP="00104DD0">
            <w:pPr>
              <w:jc w:val="right"/>
            </w:pPr>
            <w:r w:rsidRPr="00104DD0">
              <w:t>0.756</w:t>
            </w:r>
          </w:p>
        </w:tc>
        <w:tc>
          <w:tcPr>
            <w:tcW w:w="1884" w:type="dxa"/>
            <w:tcBorders>
              <w:top w:val="nil"/>
              <w:left w:val="nil"/>
              <w:bottom w:val="nil"/>
              <w:right w:val="nil"/>
            </w:tcBorders>
            <w:shd w:val="clear" w:color="auto" w:fill="auto"/>
            <w:noWrap/>
            <w:vAlign w:val="bottom"/>
            <w:hideMark/>
          </w:tcPr>
          <w:p w14:paraId="3291CA94" w14:textId="55F9F680" w:rsidR="00104DD0" w:rsidRPr="00104DD0" w:rsidRDefault="00104DD0" w:rsidP="00104DD0">
            <w:pPr>
              <w:jc w:val="right"/>
            </w:pPr>
            <w:r w:rsidRPr="00104DD0">
              <w:t>73</w:t>
            </w:r>
          </w:p>
        </w:tc>
      </w:tr>
      <w:tr w:rsidR="00104DD0" w:rsidRPr="00B31A73" w14:paraId="68813543" w14:textId="77777777" w:rsidTr="00222567">
        <w:trPr>
          <w:trHeight w:val="260"/>
        </w:trPr>
        <w:tc>
          <w:tcPr>
            <w:tcW w:w="1710" w:type="dxa"/>
            <w:tcBorders>
              <w:top w:val="nil"/>
              <w:left w:val="nil"/>
              <w:bottom w:val="nil"/>
              <w:right w:val="nil"/>
            </w:tcBorders>
            <w:shd w:val="clear" w:color="auto" w:fill="auto"/>
            <w:noWrap/>
            <w:vAlign w:val="bottom"/>
            <w:hideMark/>
          </w:tcPr>
          <w:p w14:paraId="3211C411" w14:textId="77777777" w:rsidR="00104DD0" w:rsidRPr="00B31A73" w:rsidRDefault="00104DD0" w:rsidP="00104DD0">
            <w:pPr>
              <w:jc w:val="center"/>
            </w:pPr>
            <w:r w:rsidRPr="00B31A73">
              <w:t>25</w:t>
            </w:r>
          </w:p>
        </w:tc>
        <w:tc>
          <w:tcPr>
            <w:tcW w:w="1419" w:type="dxa"/>
            <w:tcBorders>
              <w:top w:val="nil"/>
              <w:left w:val="nil"/>
              <w:bottom w:val="nil"/>
              <w:right w:val="nil"/>
            </w:tcBorders>
            <w:shd w:val="clear" w:color="auto" w:fill="auto"/>
            <w:noWrap/>
            <w:vAlign w:val="bottom"/>
            <w:hideMark/>
          </w:tcPr>
          <w:p w14:paraId="6E9B83C2" w14:textId="4E95F4B7" w:rsidR="00104DD0" w:rsidRPr="00104DD0" w:rsidRDefault="00104DD0" w:rsidP="00104DD0">
            <w:pPr>
              <w:jc w:val="right"/>
            </w:pPr>
            <w:r w:rsidRPr="00104DD0">
              <w:t>0.0508</w:t>
            </w:r>
          </w:p>
        </w:tc>
        <w:tc>
          <w:tcPr>
            <w:tcW w:w="1551" w:type="dxa"/>
            <w:tcBorders>
              <w:top w:val="nil"/>
              <w:left w:val="nil"/>
              <w:bottom w:val="nil"/>
              <w:right w:val="nil"/>
            </w:tcBorders>
            <w:shd w:val="clear" w:color="auto" w:fill="auto"/>
            <w:noWrap/>
            <w:vAlign w:val="bottom"/>
            <w:hideMark/>
          </w:tcPr>
          <w:p w14:paraId="5F1AA388" w14:textId="677AE368" w:rsidR="00104DD0" w:rsidRPr="00104DD0" w:rsidRDefault="00104DD0" w:rsidP="00104DD0">
            <w:pPr>
              <w:jc w:val="right"/>
            </w:pPr>
            <w:r w:rsidRPr="00104DD0">
              <w:t>-0.0021</w:t>
            </w:r>
          </w:p>
        </w:tc>
        <w:tc>
          <w:tcPr>
            <w:tcW w:w="1356" w:type="dxa"/>
            <w:tcBorders>
              <w:top w:val="nil"/>
              <w:left w:val="nil"/>
              <w:bottom w:val="nil"/>
              <w:right w:val="nil"/>
            </w:tcBorders>
            <w:shd w:val="clear" w:color="auto" w:fill="auto"/>
            <w:noWrap/>
            <w:vAlign w:val="bottom"/>
            <w:hideMark/>
          </w:tcPr>
          <w:p w14:paraId="1C009491" w14:textId="085E75E1" w:rsidR="00104DD0" w:rsidRPr="00104DD0" w:rsidRDefault="00104DD0" w:rsidP="00104DD0">
            <w:pPr>
              <w:jc w:val="right"/>
            </w:pPr>
            <w:r w:rsidRPr="00104DD0">
              <w:t>0.749</w:t>
            </w:r>
          </w:p>
        </w:tc>
        <w:tc>
          <w:tcPr>
            <w:tcW w:w="1884" w:type="dxa"/>
            <w:tcBorders>
              <w:top w:val="nil"/>
              <w:left w:val="nil"/>
              <w:bottom w:val="nil"/>
              <w:right w:val="nil"/>
            </w:tcBorders>
            <w:shd w:val="clear" w:color="auto" w:fill="auto"/>
            <w:noWrap/>
            <w:vAlign w:val="bottom"/>
            <w:hideMark/>
          </w:tcPr>
          <w:p w14:paraId="5D503153" w14:textId="778FD4F6" w:rsidR="00104DD0" w:rsidRPr="00104DD0" w:rsidRDefault="00104DD0" w:rsidP="00104DD0">
            <w:pPr>
              <w:jc w:val="right"/>
            </w:pPr>
            <w:r w:rsidRPr="00104DD0">
              <w:t>68</w:t>
            </w:r>
          </w:p>
        </w:tc>
      </w:tr>
      <w:tr w:rsidR="00104DD0" w:rsidRPr="00B31A73" w14:paraId="59D1E573" w14:textId="77777777" w:rsidTr="00222567">
        <w:trPr>
          <w:trHeight w:val="260"/>
        </w:trPr>
        <w:tc>
          <w:tcPr>
            <w:tcW w:w="1710" w:type="dxa"/>
            <w:tcBorders>
              <w:top w:val="nil"/>
              <w:left w:val="nil"/>
              <w:bottom w:val="nil"/>
              <w:right w:val="nil"/>
            </w:tcBorders>
            <w:shd w:val="clear" w:color="auto" w:fill="auto"/>
            <w:noWrap/>
            <w:vAlign w:val="bottom"/>
            <w:hideMark/>
          </w:tcPr>
          <w:p w14:paraId="3FE52BB3" w14:textId="77777777" w:rsidR="00104DD0" w:rsidRPr="00B31A73" w:rsidRDefault="00104DD0" w:rsidP="00104DD0">
            <w:pPr>
              <w:jc w:val="center"/>
            </w:pPr>
            <w:r w:rsidRPr="00B31A73">
              <w:t>30</w:t>
            </w:r>
          </w:p>
        </w:tc>
        <w:tc>
          <w:tcPr>
            <w:tcW w:w="1419" w:type="dxa"/>
            <w:tcBorders>
              <w:top w:val="nil"/>
              <w:left w:val="nil"/>
              <w:bottom w:val="nil"/>
              <w:right w:val="nil"/>
            </w:tcBorders>
            <w:shd w:val="clear" w:color="auto" w:fill="auto"/>
            <w:noWrap/>
            <w:vAlign w:val="bottom"/>
            <w:hideMark/>
          </w:tcPr>
          <w:p w14:paraId="55CA3C21" w14:textId="1CE74227" w:rsidR="00104DD0" w:rsidRPr="00104DD0" w:rsidRDefault="00104DD0" w:rsidP="00104DD0">
            <w:pPr>
              <w:jc w:val="right"/>
            </w:pPr>
            <w:r w:rsidRPr="00104DD0">
              <w:t>0.0490</w:t>
            </w:r>
          </w:p>
        </w:tc>
        <w:tc>
          <w:tcPr>
            <w:tcW w:w="1551" w:type="dxa"/>
            <w:tcBorders>
              <w:top w:val="nil"/>
              <w:left w:val="nil"/>
              <w:bottom w:val="nil"/>
              <w:right w:val="nil"/>
            </w:tcBorders>
            <w:shd w:val="clear" w:color="auto" w:fill="auto"/>
            <w:noWrap/>
            <w:vAlign w:val="bottom"/>
            <w:hideMark/>
          </w:tcPr>
          <w:p w14:paraId="4A71B07A" w14:textId="5F40A08C" w:rsidR="00104DD0" w:rsidRPr="00104DD0" w:rsidRDefault="00104DD0" w:rsidP="00104DD0">
            <w:pPr>
              <w:jc w:val="right"/>
            </w:pPr>
            <w:r w:rsidRPr="00104DD0">
              <w:t>-0.0017</w:t>
            </w:r>
          </w:p>
        </w:tc>
        <w:tc>
          <w:tcPr>
            <w:tcW w:w="1356" w:type="dxa"/>
            <w:tcBorders>
              <w:top w:val="nil"/>
              <w:left w:val="nil"/>
              <w:bottom w:val="nil"/>
              <w:right w:val="nil"/>
            </w:tcBorders>
            <w:shd w:val="clear" w:color="auto" w:fill="auto"/>
            <w:noWrap/>
            <w:vAlign w:val="bottom"/>
            <w:hideMark/>
          </w:tcPr>
          <w:p w14:paraId="068C2725" w14:textId="5FAF9BB1" w:rsidR="00104DD0" w:rsidRPr="00104DD0" w:rsidRDefault="00104DD0" w:rsidP="00104DD0">
            <w:pPr>
              <w:jc w:val="right"/>
            </w:pPr>
            <w:r w:rsidRPr="00104DD0">
              <w:t>0.685</w:t>
            </w:r>
          </w:p>
        </w:tc>
        <w:tc>
          <w:tcPr>
            <w:tcW w:w="1884" w:type="dxa"/>
            <w:tcBorders>
              <w:top w:val="nil"/>
              <w:left w:val="nil"/>
              <w:bottom w:val="nil"/>
              <w:right w:val="nil"/>
            </w:tcBorders>
            <w:shd w:val="clear" w:color="auto" w:fill="auto"/>
            <w:noWrap/>
            <w:vAlign w:val="bottom"/>
            <w:hideMark/>
          </w:tcPr>
          <w:p w14:paraId="49C65C5B" w14:textId="3F6AE1A9" w:rsidR="00104DD0" w:rsidRPr="00104DD0" w:rsidRDefault="00104DD0" w:rsidP="00104DD0">
            <w:pPr>
              <w:jc w:val="right"/>
            </w:pPr>
            <w:r w:rsidRPr="00104DD0">
              <w:t>63</w:t>
            </w:r>
          </w:p>
        </w:tc>
      </w:tr>
      <w:tr w:rsidR="00B872AC" w:rsidRPr="00B31A73" w14:paraId="28511F9A" w14:textId="77777777" w:rsidTr="00222567">
        <w:trPr>
          <w:trHeight w:val="260"/>
        </w:trPr>
        <w:tc>
          <w:tcPr>
            <w:tcW w:w="1710" w:type="dxa"/>
            <w:tcBorders>
              <w:top w:val="nil"/>
              <w:left w:val="nil"/>
              <w:bottom w:val="nil"/>
              <w:right w:val="nil"/>
            </w:tcBorders>
            <w:shd w:val="clear" w:color="auto" w:fill="auto"/>
            <w:noWrap/>
            <w:vAlign w:val="bottom"/>
            <w:hideMark/>
          </w:tcPr>
          <w:p w14:paraId="645C572C" w14:textId="77777777" w:rsidR="00B872AC" w:rsidRPr="00B31A73" w:rsidRDefault="00B872AC" w:rsidP="00222567">
            <w:pPr>
              <w:jc w:val="right"/>
            </w:pPr>
          </w:p>
        </w:tc>
        <w:tc>
          <w:tcPr>
            <w:tcW w:w="1419" w:type="dxa"/>
            <w:tcBorders>
              <w:top w:val="nil"/>
              <w:left w:val="nil"/>
              <w:bottom w:val="nil"/>
              <w:right w:val="nil"/>
            </w:tcBorders>
            <w:shd w:val="clear" w:color="auto" w:fill="auto"/>
            <w:noWrap/>
            <w:vAlign w:val="bottom"/>
            <w:hideMark/>
          </w:tcPr>
          <w:p w14:paraId="4589307D"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3B160EC4"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5841497F"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5BAD743D" w14:textId="77777777" w:rsidR="00B872AC" w:rsidRPr="00B31A73" w:rsidRDefault="00B872AC" w:rsidP="00222567"/>
        </w:tc>
      </w:tr>
      <w:tr w:rsidR="00B872AC" w:rsidRPr="00B31A73" w14:paraId="4EC7554D" w14:textId="77777777" w:rsidTr="00222567">
        <w:trPr>
          <w:trHeight w:val="260"/>
        </w:trPr>
        <w:tc>
          <w:tcPr>
            <w:tcW w:w="1710" w:type="dxa"/>
            <w:tcBorders>
              <w:top w:val="nil"/>
              <w:left w:val="nil"/>
              <w:bottom w:val="nil"/>
              <w:right w:val="nil"/>
            </w:tcBorders>
            <w:shd w:val="clear" w:color="auto" w:fill="auto"/>
            <w:noWrap/>
            <w:vAlign w:val="bottom"/>
            <w:hideMark/>
          </w:tcPr>
          <w:p w14:paraId="4B362FCF"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78D5025F"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1EC8DF1D"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1B2424E4"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54A811FF" w14:textId="77777777" w:rsidR="00B872AC" w:rsidRPr="00B31A73" w:rsidRDefault="00B872AC" w:rsidP="00222567"/>
        </w:tc>
      </w:tr>
      <w:tr w:rsidR="00B872AC" w:rsidRPr="00B31A73" w14:paraId="4B63DA47" w14:textId="77777777" w:rsidTr="00222567">
        <w:trPr>
          <w:trHeight w:val="260"/>
        </w:trPr>
        <w:tc>
          <w:tcPr>
            <w:tcW w:w="1710" w:type="dxa"/>
            <w:tcBorders>
              <w:top w:val="nil"/>
              <w:left w:val="nil"/>
              <w:bottom w:val="nil"/>
              <w:right w:val="nil"/>
            </w:tcBorders>
            <w:shd w:val="clear" w:color="auto" w:fill="auto"/>
            <w:noWrap/>
            <w:vAlign w:val="bottom"/>
            <w:hideMark/>
          </w:tcPr>
          <w:p w14:paraId="502059DE"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04246CE6"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04725F77"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32C51CA4"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4EE89333" w14:textId="77777777" w:rsidR="00B872AC" w:rsidRPr="00B31A73" w:rsidRDefault="00B872AC" w:rsidP="00222567"/>
        </w:tc>
      </w:tr>
      <w:tr w:rsidR="00B872AC" w:rsidRPr="00B31A73" w14:paraId="1CC7B791" w14:textId="77777777" w:rsidTr="00222567">
        <w:trPr>
          <w:trHeight w:val="260"/>
        </w:trPr>
        <w:tc>
          <w:tcPr>
            <w:tcW w:w="1710" w:type="dxa"/>
            <w:tcBorders>
              <w:top w:val="nil"/>
              <w:left w:val="nil"/>
              <w:bottom w:val="nil"/>
              <w:right w:val="nil"/>
            </w:tcBorders>
            <w:shd w:val="clear" w:color="auto" w:fill="auto"/>
            <w:noWrap/>
            <w:vAlign w:val="bottom"/>
            <w:hideMark/>
          </w:tcPr>
          <w:p w14:paraId="50B9ABF6"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7E06D1DB"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66ADC86D"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33EEDFD4"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6E0DA6DF" w14:textId="77777777" w:rsidR="00B872AC" w:rsidRPr="00B31A73" w:rsidRDefault="00B872AC" w:rsidP="00222567"/>
        </w:tc>
      </w:tr>
      <w:tr w:rsidR="00B872AC" w:rsidRPr="00B31A73" w14:paraId="50D3571A" w14:textId="77777777" w:rsidTr="00222567">
        <w:trPr>
          <w:trHeight w:val="260"/>
        </w:trPr>
        <w:tc>
          <w:tcPr>
            <w:tcW w:w="1710" w:type="dxa"/>
            <w:tcBorders>
              <w:top w:val="nil"/>
              <w:left w:val="nil"/>
              <w:bottom w:val="nil"/>
              <w:right w:val="nil"/>
            </w:tcBorders>
            <w:shd w:val="clear" w:color="auto" w:fill="auto"/>
            <w:noWrap/>
            <w:vAlign w:val="bottom"/>
            <w:hideMark/>
          </w:tcPr>
          <w:p w14:paraId="34DA0793" w14:textId="77777777" w:rsidR="00B872AC" w:rsidRPr="00B31A73" w:rsidRDefault="00B872AC" w:rsidP="00222567">
            <w:pPr>
              <w:jc w:val="center"/>
            </w:pPr>
          </w:p>
        </w:tc>
        <w:tc>
          <w:tcPr>
            <w:tcW w:w="6210" w:type="dxa"/>
            <w:gridSpan w:val="4"/>
            <w:tcBorders>
              <w:top w:val="nil"/>
              <w:left w:val="nil"/>
              <w:bottom w:val="single" w:sz="4" w:space="0" w:color="auto"/>
              <w:right w:val="nil"/>
            </w:tcBorders>
            <w:shd w:val="clear" w:color="auto" w:fill="auto"/>
            <w:noWrap/>
            <w:vAlign w:val="bottom"/>
            <w:hideMark/>
          </w:tcPr>
          <w:p w14:paraId="2B615A56" w14:textId="77777777" w:rsidR="00B872AC" w:rsidRPr="00B31A73" w:rsidRDefault="00B872AC" w:rsidP="00222567">
            <w:pPr>
              <w:jc w:val="center"/>
            </w:pPr>
            <w:r w:rsidRPr="00B31A73">
              <w:t xml:space="preserve">Dataset from 1953 </w:t>
            </w:r>
            <w:proofErr w:type="gramStart"/>
            <w:r w:rsidRPr="00B31A73">
              <w:t>-  (</w:t>
            </w:r>
            <w:proofErr w:type="gramEnd"/>
            <w:r w:rsidRPr="00B31A73">
              <w:t>add 2 for ERS)</w:t>
            </w:r>
          </w:p>
        </w:tc>
      </w:tr>
      <w:tr w:rsidR="00104DD0" w:rsidRPr="00B31A73" w14:paraId="72B2BFDE" w14:textId="77777777" w:rsidTr="00222567">
        <w:trPr>
          <w:trHeight w:val="260"/>
        </w:trPr>
        <w:tc>
          <w:tcPr>
            <w:tcW w:w="1710" w:type="dxa"/>
            <w:tcBorders>
              <w:top w:val="nil"/>
              <w:left w:val="nil"/>
              <w:bottom w:val="nil"/>
              <w:right w:val="nil"/>
            </w:tcBorders>
            <w:shd w:val="clear" w:color="auto" w:fill="auto"/>
            <w:noWrap/>
            <w:vAlign w:val="bottom"/>
            <w:hideMark/>
          </w:tcPr>
          <w:p w14:paraId="56C173AF" w14:textId="77777777" w:rsidR="00104DD0" w:rsidRPr="00B31A73" w:rsidRDefault="00104DD0" w:rsidP="00104DD0">
            <w:pPr>
              <w:jc w:val="center"/>
            </w:pPr>
            <w:r w:rsidRPr="00B31A73">
              <w:t>5</w:t>
            </w:r>
          </w:p>
        </w:tc>
        <w:tc>
          <w:tcPr>
            <w:tcW w:w="1419" w:type="dxa"/>
            <w:tcBorders>
              <w:top w:val="nil"/>
              <w:left w:val="nil"/>
              <w:bottom w:val="nil"/>
              <w:right w:val="nil"/>
            </w:tcBorders>
            <w:shd w:val="clear" w:color="auto" w:fill="auto"/>
            <w:noWrap/>
            <w:vAlign w:val="bottom"/>
            <w:hideMark/>
          </w:tcPr>
          <w:p w14:paraId="567FE859" w14:textId="745776C0" w:rsidR="00104DD0" w:rsidRPr="00104DD0" w:rsidRDefault="00104DD0" w:rsidP="00104DD0">
            <w:pPr>
              <w:jc w:val="right"/>
            </w:pPr>
            <w:r w:rsidRPr="00104DD0">
              <w:t>0.0458</w:t>
            </w:r>
          </w:p>
        </w:tc>
        <w:tc>
          <w:tcPr>
            <w:tcW w:w="1551" w:type="dxa"/>
            <w:tcBorders>
              <w:top w:val="nil"/>
              <w:left w:val="nil"/>
              <w:bottom w:val="nil"/>
              <w:right w:val="nil"/>
            </w:tcBorders>
            <w:shd w:val="clear" w:color="auto" w:fill="auto"/>
            <w:noWrap/>
            <w:vAlign w:val="bottom"/>
            <w:hideMark/>
          </w:tcPr>
          <w:p w14:paraId="04018E21" w14:textId="1E0FDFE0" w:rsidR="00104DD0" w:rsidRPr="00104DD0" w:rsidRDefault="00104DD0" w:rsidP="00104DD0">
            <w:pPr>
              <w:jc w:val="right"/>
            </w:pPr>
            <w:r w:rsidRPr="00104DD0">
              <w:t>-0.0043</w:t>
            </w:r>
          </w:p>
        </w:tc>
        <w:tc>
          <w:tcPr>
            <w:tcW w:w="1356" w:type="dxa"/>
            <w:tcBorders>
              <w:top w:val="nil"/>
              <w:left w:val="nil"/>
              <w:bottom w:val="nil"/>
              <w:right w:val="nil"/>
            </w:tcBorders>
            <w:shd w:val="clear" w:color="auto" w:fill="auto"/>
            <w:noWrap/>
            <w:vAlign w:val="bottom"/>
            <w:hideMark/>
          </w:tcPr>
          <w:p w14:paraId="4AB63BC3" w14:textId="0DA5D6EE" w:rsidR="00104DD0" w:rsidRPr="00104DD0" w:rsidRDefault="00104DD0" w:rsidP="00104DD0">
            <w:pPr>
              <w:jc w:val="right"/>
            </w:pPr>
            <w:r w:rsidRPr="00104DD0">
              <w:t>0.476</w:t>
            </w:r>
          </w:p>
        </w:tc>
        <w:tc>
          <w:tcPr>
            <w:tcW w:w="1884" w:type="dxa"/>
            <w:tcBorders>
              <w:top w:val="nil"/>
              <w:left w:val="nil"/>
              <w:bottom w:val="nil"/>
              <w:right w:val="nil"/>
            </w:tcBorders>
            <w:shd w:val="clear" w:color="auto" w:fill="auto"/>
            <w:noWrap/>
            <w:vAlign w:val="bottom"/>
            <w:hideMark/>
          </w:tcPr>
          <w:p w14:paraId="4C1F9562" w14:textId="7947FD6B" w:rsidR="00104DD0" w:rsidRPr="00104DD0" w:rsidRDefault="00104DD0" w:rsidP="00104DD0">
            <w:pPr>
              <w:jc w:val="right"/>
            </w:pPr>
            <w:r w:rsidRPr="00104DD0">
              <w:t>61</w:t>
            </w:r>
          </w:p>
        </w:tc>
      </w:tr>
      <w:tr w:rsidR="00104DD0" w:rsidRPr="00B31A73" w14:paraId="23A52975" w14:textId="77777777" w:rsidTr="00222567">
        <w:trPr>
          <w:trHeight w:val="260"/>
        </w:trPr>
        <w:tc>
          <w:tcPr>
            <w:tcW w:w="1710" w:type="dxa"/>
            <w:tcBorders>
              <w:top w:val="nil"/>
              <w:left w:val="nil"/>
              <w:bottom w:val="nil"/>
              <w:right w:val="nil"/>
            </w:tcBorders>
            <w:shd w:val="clear" w:color="auto" w:fill="auto"/>
            <w:noWrap/>
            <w:vAlign w:val="bottom"/>
            <w:hideMark/>
          </w:tcPr>
          <w:p w14:paraId="4E779DBC" w14:textId="77777777" w:rsidR="00104DD0" w:rsidRPr="00B31A73" w:rsidRDefault="00104DD0" w:rsidP="00104DD0">
            <w:pPr>
              <w:jc w:val="center"/>
            </w:pPr>
            <w:r w:rsidRPr="00B31A73">
              <w:t>10</w:t>
            </w:r>
          </w:p>
        </w:tc>
        <w:tc>
          <w:tcPr>
            <w:tcW w:w="1419" w:type="dxa"/>
            <w:tcBorders>
              <w:top w:val="nil"/>
              <w:left w:val="nil"/>
              <w:bottom w:val="nil"/>
              <w:right w:val="nil"/>
            </w:tcBorders>
            <w:shd w:val="clear" w:color="auto" w:fill="auto"/>
            <w:noWrap/>
            <w:vAlign w:val="bottom"/>
            <w:hideMark/>
          </w:tcPr>
          <w:p w14:paraId="5DEB1953" w14:textId="63FECEB7" w:rsidR="00104DD0" w:rsidRPr="00104DD0" w:rsidRDefault="00104DD0" w:rsidP="00104DD0">
            <w:pPr>
              <w:jc w:val="right"/>
            </w:pPr>
            <w:r w:rsidRPr="00104DD0">
              <w:t>0.0422</w:t>
            </w:r>
          </w:p>
        </w:tc>
        <w:tc>
          <w:tcPr>
            <w:tcW w:w="1551" w:type="dxa"/>
            <w:tcBorders>
              <w:top w:val="nil"/>
              <w:left w:val="nil"/>
              <w:bottom w:val="nil"/>
              <w:right w:val="nil"/>
            </w:tcBorders>
            <w:shd w:val="clear" w:color="auto" w:fill="auto"/>
            <w:noWrap/>
            <w:vAlign w:val="bottom"/>
            <w:hideMark/>
          </w:tcPr>
          <w:p w14:paraId="1F3771CD" w14:textId="4BB0A8FF" w:rsidR="00104DD0" w:rsidRPr="00104DD0" w:rsidRDefault="00104DD0" w:rsidP="00104DD0">
            <w:pPr>
              <w:jc w:val="right"/>
            </w:pPr>
            <w:r w:rsidRPr="00104DD0">
              <w:t>-0.0034</w:t>
            </w:r>
          </w:p>
        </w:tc>
        <w:tc>
          <w:tcPr>
            <w:tcW w:w="1356" w:type="dxa"/>
            <w:tcBorders>
              <w:top w:val="nil"/>
              <w:left w:val="nil"/>
              <w:bottom w:val="nil"/>
              <w:right w:val="nil"/>
            </w:tcBorders>
            <w:shd w:val="clear" w:color="auto" w:fill="auto"/>
            <w:noWrap/>
            <w:vAlign w:val="bottom"/>
            <w:hideMark/>
          </w:tcPr>
          <w:p w14:paraId="2D15877C" w14:textId="43602B23" w:rsidR="00104DD0" w:rsidRPr="00104DD0" w:rsidRDefault="00104DD0" w:rsidP="00104DD0">
            <w:pPr>
              <w:jc w:val="right"/>
            </w:pPr>
            <w:r w:rsidRPr="00104DD0">
              <w:t>0.658</w:t>
            </w:r>
          </w:p>
        </w:tc>
        <w:tc>
          <w:tcPr>
            <w:tcW w:w="1884" w:type="dxa"/>
            <w:tcBorders>
              <w:top w:val="nil"/>
              <w:left w:val="nil"/>
              <w:bottom w:val="nil"/>
              <w:right w:val="nil"/>
            </w:tcBorders>
            <w:shd w:val="clear" w:color="auto" w:fill="auto"/>
            <w:noWrap/>
            <w:vAlign w:val="bottom"/>
            <w:hideMark/>
          </w:tcPr>
          <w:p w14:paraId="2DFB7ADD" w14:textId="1D37A0BB" w:rsidR="00104DD0" w:rsidRPr="00104DD0" w:rsidRDefault="00104DD0" w:rsidP="00104DD0">
            <w:pPr>
              <w:jc w:val="right"/>
            </w:pPr>
            <w:r w:rsidRPr="00104DD0">
              <w:t>56</w:t>
            </w:r>
          </w:p>
        </w:tc>
      </w:tr>
      <w:tr w:rsidR="00104DD0" w:rsidRPr="00B31A73" w14:paraId="567A0207" w14:textId="77777777" w:rsidTr="00222567">
        <w:trPr>
          <w:trHeight w:val="260"/>
        </w:trPr>
        <w:tc>
          <w:tcPr>
            <w:tcW w:w="1710" w:type="dxa"/>
            <w:tcBorders>
              <w:top w:val="nil"/>
              <w:left w:val="nil"/>
              <w:bottom w:val="nil"/>
              <w:right w:val="nil"/>
            </w:tcBorders>
            <w:shd w:val="clear" w:color="auto" w:fill="auto"/>
            <w:noWrap/>
            <w:vAlign w:val="bottom"/>
            <w:hideMark/>
          </w:tcPr>
          <w:p w14:paraId="123437B0" w14:textId="77777777" w:rsidR="00104DD0" w:rsidRPr="00B31A73" w:rsidRDefault="00104DD0" w:rsidP="00104DD0">
            <w:pPr>
              <w:jc w:val="center"/>
            </w:pPr>
            <w:r w:rsidRPr="00B31A73">
              <w:t>15</w:t>
            </w:r>
          </w:p>
        </w:tc>
        <w:tc>
          <w:tcPr>
            <w:tcW w:w="1419" w:type="dxa"/>
            <w:tcBorders>
              <w:top w:val="nil"/>
              <w:left w:val="nil"/>
              <w:bottom w:val="nil"/>
              <w:right w:val="nil"/>
            </w:tcBorders>
            <w:shd w:val="clear" w:color="auto" w:fill="auto"/>
            <w:noWrap/>
            <w:vAlign w:val="bottom"/>
            <w:hideMark/>
          </w:tcPr>
          <w:p w14:paraId="784907AB" w14:textId="6A940FFD" w:rsidR="00104DD0" w:rsidRPr="00104DD0" w:rsidRDefault="00104DD0" w:rsidP="00104DD0">
            <w:pPr>
              <w:jc w:val="right"/>
            </w:pPr>
            <w:r w:rsidRPr="00104DD0">
              <w:t>0.0375</w:t>
            </w:r>
          </w:p>
        </w:tc>
        <w:tc>
          <w:tcPr>
            <w:tcW w:w="1551" w:type="dxa"/>
            <w:tcBorders>
              <w:top w:val="nil"/>
              <w:left w:val="nil"/>
              <w:bottom w:val="nil"/>
              <w:right w:val="nil"/>
            </w:tcBorders>
            <w:shd w:val="clear" w:color="auto" w:fill="auto"/>
            <w:noWrap/>
            <w:vAlign w:val="bottom"/>
            <w:hideMark/>
          </w:tcPr>
          <w:p w14:paraId="24B815D2" w14:textId="38518236" w:rsidR="00104DD0" w:rsidRPr="00104DD0" w:rsidRDefault="00104DD0" w:rsidP="00104DD0">
            <w:pPr>
              <w:jc w:val="right"/>
            </w:pPr>
            <w:r w:rsidRPr="00104DD0">
              <w:t>-0.0022</w:t>
            </w:r>
          </w:p>
        </w:tc>
        <w:tc>
          <w:tcPr>
            <w:tcW w:w="1356" w:type="dxa"/>
            <w:tcBorders>
              <w:top w:val="nil"/>
              <w:left w:val="nil"/>
              <w:bottom w:val="nil"/>
              <w:right w:val="nil"/>
            </w:tcBorders>
            <w:shd w:val="clear" w:color="auto" w:fill="auto"/>
            <w:noWrap/>
            <w:vAlign w:val="bottom"/>
            <w:hideMark/>
          </w:tcPr>
          <w:p w14:paraId="4529E5F1" w14:textId="6D4E5DA5" w:rsidR="00104DD0" w:rsidRPr="00104DD0" w:rsidRDefault="00104DD0" w:rsidP="00104DD0">
            <w:pPr>
              <w:jc w:val="right"/>
            </w:pPr>
            <w:r w:rsidRPr="00104DD0">
              <w:t>0.615</w:t>
            </w:r>
          </w:p>
        </w:tc>
        <w:tc>
          <w:tcPr>
            <w:tcW w:w="1884" w:type="dxa"/>
            <w:tcBorders>
              <w:top w:val="nil"/>
              <w:left w:val="nil"/>
              <w:bottom w:val="nil"/>
              <w:right w:val="nil"/>
            </w:tcBorders>
            <w:shd w:val="clear" w:color="auto" w:fill="auto"/>
            <w:noWrap/>
            <w:vAlign w:val="bottom"/>
            <w:hideMark/>
          </w:tcPr>
          <w:p w14:paraId="7367216B" w14:textId="1D7123C8" w:rsidR="00104DD0" w:rsidRPr="00104DD0" w:rsidRDefault="00104DD0" w:rsidP="00104DD0">
            <w:pPr>
              <w:jc w:val="right"/>
            </w:pPr>
            <w:r w:rsidRPr="00104DD0">
              <w:t>51</w:t>
            </w:r>
          </w:p>
        </w:tc>
      </w:tr>
      <w:tr w:rsidR="00104DD0" w:rsidRPr="00B31A73" w14:paraId="4EDB146D" w14:textId="77777777" w:rsidTr="00222567">
        <w:trPr>
          <w:trHeight w:val="260"/>
        </w:trPr>
        <w:tc>
          <w:tcPr>
            <w:tcW w:w="1710" w:type="dxa"/>
            <w:tcBorders>
              <w:top w:val="nil"/>
              <w:left w:val="nil"/>
              <w:bottom w:val="nil"/>
              <w:right w:val="nil"/>
            </w:tcBorders>
            <w:shd w:val="clear" w:color="auto" w:fill="auto"/>
            <w:noWrap/>
            <w:vAlign w:val="bottom"/>
            <w:hideMark/>
          </w:tcPr>
          <w:p w14:paraId="21AC9FA3" w14:textId="77777777" w:rsidR="00104DD0" w:rsidRPr="00B31A73" w:rsidRDefault="00104DD0" w:rsidP="00104DD0">
            <w:pPr>
              <w:jc w:val="center"/>
            </w:pPr>
            <w:r w:rsidRPr="00B31A73">
              <w:t>20</w:t>
            </w:r>
          </w:p>
        </w:tc>
        <w:tc>
          <w:tcPr>
            <w:tcW w:w="1419" w:type="dxa"/>
            <w:tcBorders>
              <w:top w:val="nil"/>
              <w:left w:val="nil"/>
              <w:bottom w:val="nil"/>
              <w:right w:val="nil"/>
            </w:tcBorders>
            <w:shd w:val="clear" w:color="auto" w:fill="auto"/>
            <w:noWrap/>
            <w:vAlign w:val="bottom"/>
            <w:hideMark/>
          </w:tcPr>
          <w:p w14:paraId="7674E290" w14:textId="14D0B278" w:rsidR="00104DD0" w:rsidRPr="00104DD0" w:rsidRDefault="00104DD0" w:rsidP="00104DD0">
            <w:pPr>
              <w:jc w:val="right"/>
            </w:pPr>
            <w:r w:rsidRPr="00104DD0">
              <w:t>0.0337</w:t>
            </w:r>
          </w:p>
        </w:tc>
        <w:tc>
          <w:tcPr>
            <w:tcW w:w="1551" w:type="dxa"/>
            <w:tcBorders>
              <w:top w:val="nil"/>
              <w:left w:val="nil"/>
              <w:bottom w:val="nil"/>
              <w:right w:val="nil"/>
            </w:tcBorders>
            <w:shd w:val="clear" w:color="auto" w:fill="auto"/>
            <w:noWrap/>
            <w:vAlign w:val="bottom"/>
            <w:hideMark/>
          </w:tcPr>
          <w:p w14:paraId="7D24B0E9" w14:textId="3E468443" w:rsidR="00104DD0" w:rsidRPr="00104DD0" w:rsidRDefault="00104DD0" w:rsidP="00104DD0">
            <w:pPr>
              <w:jc w:val="right"/>
            </w:pPr>
            <w:r w:rsidRPr="00104DD0">
              <w:t>-0.0012</w:t>
            </w:r>
          </w:p>
        </w:tc>
        <w:tc>
          <w:tcPr>
            <w:tcW w:w="1356" w:type="dxa"/>
            <w:tcBorders>
              <w:top w:val="nil"/>
              <w:left w:val="nil"/>
              <w:bottom w:val="nil"/>
              <w:right w:val="nil"/>
            </w:tcBorders>
            <w:shd w:val="clear" w:color="auto" w:fill="auto"/>
            <w:noWrap/>
            <w:vAlign w:val="bottom"/>
            <w:hideMark/>
          </w:tcPr>
          <w:p w14:paraId="03A3CB91" w14:textId="46ACC9CD" w:rsidR="00104DD0" w:rsidRPr="00104DD0" w:rsidRDefault="00104DD0" w:rsidP="00104DD0">
            <w:pPr>
              <w:jc w:val="right"/>
            </w:pPr>
            <w:r w:rsidRPr="00104DD0">
              <w:t>0.382</w:t>
            </w:r>
          </w:p>
        </w:tc>
        <w:tc>
          <w:tcPr>
            <w:tcW w:w="1884" w:type="dxa"/>
            <w:tcBorders>
              <w:top w:val="nil"/>
              <w:left w:val="nil"/>
              <w:bottom w:val="nil"/>
              <w:right w:val="nil"/>
            </w:tcBorders>
            <w:shd w:val="clear" w:color="auto" w:fill="auto"/>
            <w:noWrap/>
            <w:vAlign w:val="bottom"/>
            <w:hideMark/>
          </w:tcPr>
          <w:p w14:paraId="3DC522F6" w14:textId="7548F982" w:rsidR="00104DD0" w:rsidRPr="00104DD0" w:rsidRDefault="00104DD0" w:rsidP="00104DD0">
            <w:pPr>
              <w:jc w:val="right"/>
            </w:pPr>
            <w:r w:rsidRPr="00104DD0">
              <w:t>46</w:t>
            </w:r>
          </w:p>
        </w:tc>
      </w:tr>
      <w:tr w:rsidR="00104DD0" w:rsidRPr="00B31A73" w14:paraId="36380D24" w14:textId="77777777" w:rsidTr="00222567">
        <w:trPr>
          <w:trHeight w:val="260"/>
        </w:trPr>
        <w:tc>
          <w:tcPr>
            <w:tcW w:w="1710" w:type="dxa"/>
            <w:tcBorders>
              <w:top w:val="nil"/>
              <w:left w:val="nil"/>
              <w:bottom w:val="nil"/>
              <w:right w:val="nil"/>
            </w:tcBorders>
            <w:shd w:val="clear" w:color="auto" w:fill="auto"/>
            <w:noWrap/>
            <w:vAlign w:val="bottom"/>
            <w:hideMark/>
          </w:tcPr>
          <w:p w14:paraId="45AB8A5D" w14:textId="77777777" w:rsidR="00104DD0" w:rsidRPr="00B31A73" w:rsidRDefault="00104DD0" w:rsidP="00104DD0">
            <w:pPr>
              <w:jc w:val="center"/>
            </w:pPr>
            <w:r w:rsidRPr="00B31A73">
              <w:t>25</w:t>
            </w:r>
          </w:p>
        </w:tc>
        <w:tc>
          <w:tcPr>
            <w:tcW w:w="1419" w:type="dxa"/>
            <w:tcBorders>
              <w:top w:val="nil"/>
              <w:left w:val="nil"/>
              <w:bottom w:val="nil"/>
              <w:right w:val="nil"/>
            </w:tcBorders>
            <w:shd w:val="clear" w:color="auto" w:fill="auto"/>
            <w:noWrap/>
            <w:vAlign w:val="bottom"/>
            <w:hideMark/>
          </w:tcPr>
          <w:p w14:paraId="60E7F9C9" w14:textId="05D67781" w:rsidR="00104DD0" w:rsidRPr="00104DD0" w:rsidRDefault="00104DD0" w:rsidP="00104DD0">
            <w:pPr>
              <w:jc w:val="right"/>
            </w:pPr>
            <w:r w:rsidRPr="00104DD0">
              <w:t>0.0332</w:t>
            </w:r>
          </w:p>
        </w:tc>
        <w:tc>
          <w:tcPr>
            <w:tcW w:w="1551" w:type="dxa"/>
            <w:tcBorders>
              <w:top w:val="nil"/>
              <w:left w:val="nil"/>
              <w:bottom w:val="nil"/>
              <w:right w:val="nil"/>
            </w:tcBorders>
            <w:shd w:val="clear" w:color="auto" w:fill="auto"/>
            <w:noWrap/>
            <w:vAlign w:val="bottom"/>
            <w:hideMark/>
          </w:tcPr>
          <w:p w14:paraId="3E66725B" w14:textId="6B3F515F" w:rsidR="00104DD0" w:rsidRPr="00104DD0" w:rsidRDefault="00104DD0" w:rsidP="00104DD0">
            <w:pPr>
              <w:jc w:val="right"/>
            </w:pPr>
            <w:r w:rsidRPr="00104DD0">
              <w:t>-0.0010</w:t>
            </w:r>
          </w:p>
        </w:tc>
        <w:tc>
          <w:tcPr>
            <w:tcW w:w="1356" w:type="dxa"/>
            <w:tcBorders>
              <w:top w:val="nil"/>
              <w:left w:val="nil"/>
              <w:bottom w:val="nil"/>
              <w:right w:val="nil"/>
            </w:tcBorders>
            <w:shd w:val="clear" w:color="auto" w:fill="auto"/>
            <w:noWrap/>
            <w:vAlign w:val="bottom"/>
            <w:hideMark/>
          </w:tcPr>
          <w:p w14:paraId="7B3DDAD5" w14:textId="5D14B5B8" w:rsidR="00104DD0" w:rsidRPr="00104DD0" w:rsidRDefault="00104DD0" w:rsidP="00104DD0">
            <w:pPr>
              <w:jc w:val="right"/>
            </w:pPr>
            <w:r w:rsidRPr="00104DD0">
              <w:t>0.342</w:t>
            </w:r>
          </w:p>
        </w:tc>
        <w:tc>
          <w:tcPr>
            <w:tcW w:w="1884" w:type="dxa"/>
            <w:tcBorders>
              <w:top w:val="nil"/>
              <w:left w:val="nil"/>
              <w:bottom w:val="nil"/>
              <w:right w:val="nil"/>
            </w:tcBorders>
            <w:shd w:val="clear" w:color="auto" w:fill="auto"/>
            <w:noWrap/>
            <w:vAlign w:val="bottom"/>
            <w:hideMark/>
          </w:tcPr>
          <w:p w14:paraId="0F010C0D" w14:textId="62B5E4C3" w:rsidR="00104DD0" w:rsidRPr="00104DD0" w:rsidRDefault="00104DD0" w:rsidP="00104DD0">
            <w:pPr>
              <w:jc w:val="right"/>
            </w:pPr>
            <w:r w:rsidRPr="00104DD0">
              <w:t>41</w:t>
            </w:r>
          </w:p>
        </w:tc>
      </w:tr>
      <w:tr w:rsidR="00104DD0" w:rsidRPr="00B31A73" w14:paraId="736945C6" w14:textId="77777777" w:rsidTr="00222567">
        <w:trPr>
          <w:trHeight w:val="260"/>
        </w:trPr>
        <w:tc>
          <w:tcPr>
            <w:tcW w:w="1710" w:type="dxa"/>
            <w:tcBorders>
              <w:top w:val="nil"/>
              <w:left w:val="nil"/>
              <w:bottom w:val="nil"/>
              <w:right w:val="nil"/>
            </w:tcBorders>
            <w:shd w:val="clear" w:color="auto" w:fill="auto"/>
            <w:noWrap/>
            <w:vAlign w:val="bottom"/>
            <w:hideMark/>
          </w:tcPr>
          <w:p w14:paraId="1F5CDD52" w14:textId="77777777" w:rsidR="00104DD0" w:rsidRPr="00B31A73" w:rsidRDefault="00104DD0" w:rsidP="00104DD0">
            <w:pPr>
              <w:jc w:val="center"/>
            </w:pPr>
            <w:r w:rsidRPr="00B31A73">
              <w:t>30</w:t>
            </w:r>
          </w:p>
        </w:tc>
        <w:tc>
          <w:tcPr>
            <w:tcW w:w="1419" w:type="dxa"/>
            <w:tcBorders>
              <w:top w:val="nil"/>
              <w:left w:val="nil"/>
              <w:bottom w:val="nil"/>
              <w:right w:val="nil"/>
            </w:tcBorders>
            <w:shd w:val="clear" w:color="auto" w:fill="auto"/>
            <w:noWrap/>
            <w:vAlign w:val="bottom"/>
            <w:hideMark/>
          </w:tcPr>
          <w:p w14:paraId="48A351F4" w14:textId="20AC56F3" w:rsidR="00104DD0" w:rsidRPr="00104DD0" w:rsidRDefault="00104DD0" w:rsidP="00104DD0">
            <w:pPr>
              <w:jc w:val="right"/>
            </w:pPr>
            <w:r w:rsidRPr="00104DD0">
              <w:t>0.0326</w:t>
            </w:r>
          </w:p>
        </w:tc>
        <w:tc>
          <w:tcPr>
            <w:tcW w:w="1551" w:type="dxa"/>
            <w:tcBorders>
              <w:top w:val="nil"/>
              <w:left w:val="nil"/>
              <w:bottom w:val="nil"/>
              <w:right w:val="nil"/>
            </w:tcBorders>
            <w:shd w:val="clear" w:color="auto" w:fill="auto"/>
            <w:noWrap/>
            <w:vAlign w:val="bottom"/>
            <w:hideMark/>
          </w:tcPr>
          <w:p w14:paraId="3C8BDC33" w14:textId="57A61889" w:rsidR="00104DD0" w:rsidRPr="00104DD0" w:rsidRDefault="00104DD0" w:rsidP="00104DD0">
            <w:pPr>
              <w:jc w:val="right"/>
            </w:pPr>
            <w:r w:rsidRPr="00104DD0">
              <w:t>-0.0008</w:t>
            </w:r>
          </w:p>
        </w:tc>
        <w:tc>
          <w:tcPr>
            <w:tcW w:w="1356" w:type="dxa"/>
            <w:tcBorders>
              <w:top w:val="nil"/>
              <w:left w:val="nil"/>
              <w:bottom w:val="nil"/>
              <w:right w:val="nil"/>
            </w:tcBorders>
            <w:shd w:val="clear" w:color="auto" w:fill="auto"/>
            <w:noWrap/>
            <w:vAlign w:val="bottom"/>
            <w:hideMark/>
          </w:tcPr>
          <w:p w14:paraId="5C8B7335" w14:textId="472F604A" w:rsidR="00104DD0" w:rsidRPr="00104DD0" w:rsidRDefault="00104DD0" w:rsidP="00104DD0">
            <w:pPr>
              <w:jc w:val="right"/>
            </w:pPr>
            <w:r w:rsidRPr="00104DD0">
              <w:t>0.364</w:t>
            </w:r>
          </w:p>
        </w:tc>
        <w:tc>
          <w:tcPr>
            <w:tcW w:w="1884" w:type="dxa"/>
            <w:tcBorders>
              <w:top w:val="nil"/>
              <w:left w:val="nil"/>
              <w:bottom w:val="nil"/>
              <w:right w:val="nil"/>
            </w:tcBorders>
            <w:shd w:val="clear" w:color="auto" w:fill="auto"/>
            <w:noWrap/>
            <w:vAlign w:val="bottom"/>
            <w:hideMark/>
          </w:tcPr>
          <w:p w14:paraId="6CCF9A8F" w14:textId="7BF238E1" w:rsidR="00104DD0" w:rsidRPr="00104DD0" w:rsidRDefault="00104DD0" w:rsidP="00104DD0">
            <w:pPr>
              <w:jc w:val="right"/>
            </w:pPr>
            <w:r w:rsidRPr="00104DD0">
              <w:t>36</w:t>
            </w:r>
          </w:p>
        </w:tc>
      </w:tr>
      <w:tr w:rsidR="00B872AC" w:rsidRPr="00B31A73" w14:paraId="29FEFFF6" w14:textId="77777777" w:rsidTr="00222567">
        <w:trPr>
          <w:trHeight w:val="260"/>
        </w:trPr>
        <w:tc>
          <w:tcPr>
            <w:tcW w:w="1710" w:type="dxa"/>
            <w:tcBorders>
              <w:top w:val="nil"/>
              <w:left w:val="nil"/>
              <w:bottom w:val="nil"/>
              <w:right w:val="nil"/>
            </w:tcBorders>
            <w:shd w:val="clear" w:color="auto" w:fill="auto"/>
            <w:noWrap/>
            <w:vAlign w:val="bottom"/>
            <w:hideMark/>
          </w:tcPr>
          <w:p w14:paraId="28A6B770" w14:textId="77777777" w:rsidR="00B872AC" w:rsidRPr="00B31A73" w:rsidRDefault="00B872AC" w:rsidP="00222567">
            <w:pPr>
              <w:jc w:val="right"/>
            </w:pPr>
          </w:p>
        </w:tc>
        <w:tc>
          <w:tcPr>
            <w:tcW w:w="1419" w:type="dxa"/>
            <w:tcBorders>
              <w:top w:val="nil"/>
              <w:left w:val="nil"/>
              <w:bottom w:val="nil"/>
              <w:right w:val="nil"/>
            </w:tcBorders>
            <w:shd w:val="clear" w:color="auto" w:fill="auto"/>
            <w:noWrap/>
            <w:vAlign w:val="bottom"/>
            <w:hideMark/>
          </w:tcPr>
          <w:p w14:paraId="1ED81CEE"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63DA96BF"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53D617BE"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5759C59D" w14:textId="77777777" w:rsidR="00B872AC" w:rsidRPr="00B31A73" w:rsidRDefault="00B872AC" w:rsidP="00222567"/>
        </w:tc>
      </w:tr>
      <w:tr w:rsidR="00B872AC" w:rsidRPr="00B31A73" w14:paraId="76DBC428" w14:textId="77777777" w:rsidTr="00222567">
        <w:trPr>
          <w:trHeight w:val="260"/>
        </w:trPr>
        <w:tc>
          <w:tcPr>
            <w:tcW w:w="1710" w:type="dxa"/>
            <w:tcBorders>
              <w:top w:val="nil"/>
              <w:left w:val="nil"/>
              <w:bottom w:val="nil"/>
              <w:right w:val="nil"/>
            </w:tcBorders>
            <w:shd w:val="clear" w:color="auto" w:fill="auto"/>
            <w:noWrap/>
            <w:vAlign w:val="bottom"/>
            <w:hideMark/>
          </w:tcPr>
          <w:p w14:paraId="36AE57BC"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59689931"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1CC9DB19"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06E70FF3"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695B83CA" w14:textId="77777777" w:rsidR="00B872AC" w:rsidRPr="00B31A73" w:rsidRDefault="00B872AC" w:rsidP="00222567"/>
        </w:tc>
      </w:tr>
      <w:tr w:rsidR="00B872AC" w:rsidRPr="00B31A73" w14:paraId="5006C08A" w14:textId="77777777" w:rsidTr="00222567">
        <w:trPr>
          <w:trHeight w:val="260"/>
        </w:trPr>
        <w:tc>
          <w:tcPr>
            <w:tcW w:w="1710" w:type="dxa"/>
            <w:tcBorders>
              <w:top w:val="nil"/>
              <w:left w:val="nil"/>
              <w:bottom w:val="nil"/>
              <w:right w:val="nil"/>
            </w:tcBorders>
            <w:shd w:val="clear" w:color="auto" w:fill="auto"/>
            <w:noWrap/>
            <w:vAlign w:val="bottom"/>
            <w:hideMark/>
          </w:tcPr>
          <w:p w14:paraId="68012252"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0E8EA44B"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1141986E"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1C817CDE"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2EA02060" w14:textId="77777777" w:rsidR="00B872AC" w:rsidRPr="00B31A73" w:rsidRDefault="00B872AC" w:rsidP="00222567"/>
        </w:tc>
      </w:tr>
      <w:tr w:rsidR="00B872AC" w:rsidRPr="00B31A73" w14:paraId="486C0C0A" w14:textId="77777777" w:rsidTr="00222567">
        <w:trPr>
          <w:trHeight w:val="260"/>
        </w:trPr>
        <w:tc>
          <w:tcPr>
            <w:tcW w:w="1710" w:type="dxa"/>
            <w:tcBorders>
              <w:top w:val="nil"/>
              <w:left w:val="nil"/>
              <w:bottom w:val="nil"/>
              <w:right w:val="nil"/>
            </w:tcBorders>
            <w:shd w:val="clear" w:color="auto" w:fill="auto"/>
            <w:noWrap/>
            <w:vAlign w:val="bottom"/>
            <w:hideMark/>
          </w:tcPr>
          <w:p w14:paraId="2E155AC8" w14:textId="77777777" w:rsidR="00B872AC" w:rsidRPr="00B31A73" w:rsidRDefault="00B872AC" w:rsidP="00222567"/>
        </w:tc>
        <w:tc>
          <w:tcPr>
            <w:tcW w:w="1419" w:type="dxa"/>
            <w:tcBorders>
              <w:top w:val="nil"/>
              <w:left w:val="nil"/>
              <w:bottom w:val="nil"/>
              <w:right w:val="nil"/>
            </w:tcBorders>
            <w:shd w:val="clear" w:color="auto" w:fill="auto"/>
            <w:noWrap/>
            <w:vAlign w:val="bottom"/>
            <w:hideMark/>
          </w:tcPr>
          <w:p w14:paraId="04486CAC" w14:textId="77777777" w:rsidR="00B872AC" w:rsidRPr="00B31A73" w:rsidRDefault="00B872AC" w:rsidP="00222567"/>
        </w:tc>
        <w:tc>
          <w:tcPr>
            <w:tcW w:w="1551" w:type="dxa"/>
            <w:tcBorders>
              <w:top w:val="nil"/>
              <w:left w:val="nil"/>
              <w:bottom w:val="nil"/>
              <w:right w:val="nil"/>
            </w:tcBorders>
            <w:shd w:val="clear" w:color="auto" w:fill="auto"/>
            <w:noWrap/>
            <w:vAlign w:val="bottom"/>
            <w:hideMark/>
          </w:tcPr>
          <w:p w14:paraId="697DB6EF" w14:textId="77777777" w:rsidR="00B872AC" w:rsidRPr="00B31A73" w:rsidRDefault="00B872AC" w:rsidP="00222567"/>
        </w:tc>
        <w:tc>
          <w:tcPr>
            <w:tcW w:w="1356" w:type="dxa"/>
            <w:tcBorders>
              <w:top w:val="nil"/>
              <w:left w:val="nil"/>
              <w:bottom w:val="nil"/>
              <w:right w:val="nil"/>
            </w:tcBorders>
            <w:shd w:val="clear" w:color="auto" w:fill="auto"/>
            <w:noWrap/>
            <w:vAlign w:val="bottom"/>
            <w:hideMark/>
          </w:tcPr>
          <w:p w14:paraId="16DFCE5C" w14:textId="77777777" w:rsidR="00B872AC" w:rsidRPr="00B31A73" w:rsidRDefault="00B872AC" w:rsidP="00222567"/>
        </w:tc>
        <w:tc>
          <w:tcPr>
            <w:tcW w:w="1884" w:type="dxa"/>
            <w:tcBorders>
              <w:top w:val="nil"/>
              <w:left w:val="nil"/>
              <w:bottom w:val="nil"/>
              <w:right w:val="nil"/>
            </w:tcBorders>
            <w:shd w:val="clear" w:color="auto" w:fill="auto"/>
            <w:noWrap/>
            <w:vAlign w:val="bottom"/>
            <w:hideMark/>
          </w:tcPr>
          <w:p w14:paraId="22FC699A" w14:textId="77777777" w:rsidR="00B872AC" w:rsidRPr="00B31A73" w:rsidRDefault="00B872AC" w:rsidP="00222567"/>
        </w:tc>
      </w:tr>
      <w:tr w:rsidR="00B872AC" w:rsidRPr="00B31A73" w14:paraId="6DCD6F59" w14:textId="77777777" w:rsidTr="00222567">
        <w:trPr>
          <w:trHeight w:val="260"/>
        </w:trPr>
        <w:tc>
          <w:tcPr>
            <w:tcW w:w="1710" w:type="dxa"/>
            <w:tcBorders>
              <w:top w:val="nil"/>
              <w:left w:val="nil"/>
              <w:bottom w:val="nil"/>
              <w:right w:val="nil"/>
            </w:tcBorders>
            <w:shd w:val="clear" w:color="auto" w:fill="auto"/>
            <w:noWrap/>
            <w:vAlign w:val="bottom"/>
            <w:hideMark/>
          </w:tcPr>
          <w:p w14:paraId="7416C654" w14:textId="77777777" w:rsidR="00B872AC" w:rsidRPr="00B31A73" w:rsidRDefault="00B872AC" w:rsidP="00222567"/>
        </w:tc>
        <w:tc>
          <w:tcPr>
            <w:tcW w:w="6210" w:type="dxa"/>
            <w:gridSpan w:val="4"/>
            <w:tcBorders>
              <w:top w:val="nil"/>
              <w:left w:val="nil"/>
              <w:bottom w:val="single" w:sz="4" w:space="0" w:color="auto"/>
              <w:right w:val="nil"/>
            </w:tcBorders>
            <w:shd w:val="clear" w:color="auto" w:fill="auto"/>
            <w:noWrap/>
            <w:vAlign w:val="bottom"/>
            <w:hideMark/>
          </w:tcPr>
          <w:p w14:paraId="28C37788" w14:textId="77777777" w:rsidR="00B872AC" w:rsidRPr="00B31A73" w:rsidRDefault="00B872AC" w:rsidP="00222567">
            <w:pPr>
              <w:jc w:val="center"/>
            </w:pPr>
            <w:r w:rsidRPr="00B31A73">
              <w:t>Dataset from 1881 - 1956 (add 16 for ERS)</w:t>
            </w:r>
          </w:p>
        </w:tc>
      </w:tr>
      <w:tr w:rsidR="00104DD0" w:rsidRPr="00B31A73" w14:paraId="4CCAB521" w14:textId="77777777" w:rsidTr="00222567">
        <w:trPr>
          <w:trHeight w:val="260"/>
        </w:trPr>
        <w:tc>
          <w:tcPr>
            <w:tcW w:w="1710" w:type="dxa"/>
            <w:tcBorders>
              <w:top w:val="nil"/>
              <w:left w:val="nil"/>
              <w:bottom w:val="nil"/>
              <w:right w:val="nil"/>
            </w:tcBorders>
            <w:shd w:val="clear" w:color="auto" w:fill="auto"/>
            <w:noWrap/>
            <w:vAlign w:val="bottom"/>
            <w:hideMark/>
          </w:tcPr>
          <w:p w14:paraId="7D35AC74" w14:textId="77777777" w:rsidR="00104DD0" w:rsidRPr="00B31A73" w:rsidRDefault="00104DD0" w:rsidP="00104DD0">
            <w:pPr>
              <w:jc w:val="center"/>
            </w:pPr>
            <w:r w:rsidRPr="00B31A73">
              <w:t>5</w:t>
            </w:r>
          </w:p>
        </w:tc>
        <w:tc>
          <w:tcPr>
            <w:tcW w:w="1419" w:type="dxa"/>
            <w:tcBorders>
              <w:top w:val="nil"/>
              <w:left w:val="nil"/>
              <w:bottom w:val="nil"/>
              <w:right w:val="nil"/>
            </w:tcBorders>
            <w:shd w:val="clear" w:color="auto" w:fill="auto"/>
            <w:noWrap/>
            <w:vAlign w:val="bottom"/>
            <w:hideMark/>
          </w:tcPr>
          <w:p w14:paraId="0F25D98D" w14:textId="52908C90" w:rsidR="00104DD0" w:rsidRPr="00104DD0" w:rsidRDefault="00104DD0" w:rsidP="00104DD0">
            <w:pPr>
              <w:jc w:val="right"/>
            </w:pPr>
            <w:r w:rsidRPr="00104DD0">
              <w:t>0.0455</w:t>
            </w:r>
          </w:p>
        </w:tc>
        <w:tc>
          <w:tcPr>
            <w:tcW w:w="1551" w:type="dxa"/>
            <w:tcBorders>
              <w:top w:val="nil"/>
              <w:left w:val="nil"/>
              <w:bottom w:val="nil"/>
              <w:right w:val="nil"/>
            </w:tcBorders>
            <w:shd w:val="clear" w:color="auto" w:fill="auto"/>
            <w:noWrap/>
            <w:vAlign w:val="bottom"/>
            <w:hideMark/>
          </w:tcPr>
          <w:p w14:paraId="3A17AFFE" w14:textId="14159113" w:rsidR="00104DD0" w:rsidRPr="00104DD0" w:rsidRDefault="00104DD0" w:rsidP="00104DD0">
            <w:pPr>
              <w:jc w:val="right"/>
            </w:pPr>
            <w:r w:rsidRPr="00104DD0">
              <w:t>-0.0060</w:t>
            </w:r>
          </w:p>
        </w:tc>
        <w:tc>
          <w:tcPr>
            <w:tcW w:w="1356" w:type="dxa"/>
            <w:tcBorders>
              <w:top w:val="nil"/>
              <w:left w:val="nil"/>
              <w:bottom w:val="nil"/>
              <w:right w:val="nil"/>
            </w:tcBorders>
            <w:shd w:val="clear" w:color="auto" w:fill="auto"/>
            <w:noWrap/>
            <w:vAlign w:val="bottom"/>
            <w:hideMark/>
          </w:tcPr>
          <w:p w14:paraId="39C77ED6" w14:textId="1D180056" w:rsidR="00104DD0" w:rsidRPr="00104DD0" w:rsidRDefault="00104DD0" w:rsidP="00104DD0">
            <w:pPr>
              <w:jc w:val="right"/>
            </w:pPr>
            <w:r w:rsidRPr="00104DD0">
              <w:t>0.331</w:t>
            </w:r>
          </w:p>
        </w:tc>
        <w:tc>
          <w:tcPr>
            <w:tcW w:w="1884" w:type="dxa"/>
            <w:tcBorders>
              <w:top w:val="nil"/>
              <w:left w:val="nil"/>
              <w:bottom w:val="nil"/>
              <w:right w:val="nil"/>
            </w:tcBorders>
            <w:shd w:val="clear" w:color="auto" w:fill="auto"/>
            <w:noWrap/>
            <w:vAlign w:val="bottom"/>
            <w:hideMark/>
          </w:tcPr>
          <w:p w14:paraId="3559B03C" w14:textId="533058BE" w:rsidR="00104DD0" w:rsidRPr="00104DD0" w:rsidRDefault="00104DD0" w:rsidP="00104DD0">
            <w:pPr>
              <w:jc w:val="right"/>
            </w:pPr>
            <w:r w:rsidRPr="00104DD0">
              <w:t>72</w:t>
            </w:r>
          </w:p>
        </w:tc>
      </w:tr>
      <w:tr w:rsidR="00104DD0" w:rsidRPr="00B31A73" w14:paraId="487E9103" w14:textId="77777777" w:rsidTr="00222567">
        <w:trPr>
          <w:trHeight w:val="260"/>
        </w:trPr>
        <w:tc>
          <w:tcPr>
            <w:tcW w:w="1710" w:type="dxa"/>
            <w:tcBorders>
              <w:top w:val="nil"/>
              <w:left w:val="nil"/>
              <w:bottom w:val="nil"/>
              <w:right w:val="nil"/>
            </w:tcBorders>
            <w:shd w:val="clear" w:color="auto" w:fill="auto"/>
            <w:noWrap/>
            <w:vAlign w:val="bottom"/>
            <w:hideMark/>
          </w:tcPr>
          <w:p w14:paraId="179389D5" w14:textId="77777777" w:rsidR="00104DD0" w:rsidRPr="00B31A73" w:rsidRDefault="00104DD0" w:rsidP="00104DD0">
            <w:pPr>
              <w:jc w:val="center"/>
            </w:pPr>
            <w:r w:rsidRPr="00B31A73">
              <w:t>10</w:t>
            </w:r>
          </w:p>
        </w:tc>
        <w:tc>
          <w:tcPr>
            <w:tcW w:w="1419" w:type="dxa"/>
            <w:tcBorders>
              <w:top w:val="nil"/>
              <w:left w:val="nil"/>
              <w:bottom w:val="nil"/>
              <w:right w:val="nil"/>
            </w:tcBorders>
            <w:shd w:val="clear" w:color="auto" w:fill="auto"/>
            <w:noWrap/>
            <w:vAlign w:val="bottom"/>
            <w:hideMark/>
          </w:tcPr>
          <w:p w14:paraId="121B77DD" w14:textId="46F61EB0" w:rsidR="00104DD0" w:rsidRPr="00104DD0" w:rsidRDefault="00104DD0" w:rsidP="00104DD0">
            <w:pPr>
              <w:jc w:val="right"/>
            </w:pPr>
            <w:r w:rsidRPr="00104DD0">
              <w:t>0.0478</w:t>
            </w:r>
          </w:p>
        </w:tc>
        <w:tc>
          <w:tcPr>
            <w:tcW w:w="1551" w:type="dxa"/>
            <w:tcBorders>
              <w:top w:val="nil"/>
              <w:left w:val="nil"/>
              <w:bottom w:val="nil"/>
              <w:right w:val="nil"/>
            </w:tcBorders>
            <w:shd w:val="clear" w:color="auto" w:fill="auto"/>
            <w:noWrap/>
            <w:vAlign w:val="bottom"/>
            <w:hideMark/>
          </w:tcPr>
          <w:p w14:paraId="42D217B3" w14:textId="182A1398" w:rsidR="00104DD0" w:rsidRPr="00104DD0" w:rsidRDefault="00104DD0" w:rsidP="00104DD0">
            <w:pPr>
              <w:jc w:val="right"/>
            </w:pPr>
            <w:r w:rsidRPr="00104DD0">
              <w:t>-0.0053</w:t>
            </w:r>
          </w:p>
        </w:tc>
        <w:tc>
          <w:tcPr>
            <w:tcW w:w="1356" w:type="dxa"/>
            <w:tcBorders>
              <w:top w:val="nil"/>
              <w:left w:val="nil"/>
              <w:bottom w:val="nil"/>
              <w:right w:val="nil"/>
            </w:tcBorders>
            <w:shd w:val="clear" w:color="auto" w:fill="auto"/>
            <w:noWrap/>
            <w:vAlign w:val="bottom"/>
            <w:hideMark/>
          </w:tcPr>
          <w:p w14:paraId="10E413A2" w14:textId="758689AC" w:rsidR="00104DD0" w:rsidRPr="00104DD0" w:rsidRDefault="00104DD0" w:rsidP="00104DD0">
            <w:pPr>
              <w:jc w:val="right"/>
            </w:pPr>
            <w:r w:rsidRPr="00104DD0">
              <w:t>0.599</w:t>
            </w:r>
          </w:p>
        </w:tc>
        <w:tc>
          <w:tcPr>
            <w:tcW w:w="1884" w:type="dxa"/>
            <w:tcBorders>
              <w:top w:val="nil"/>
              <w:left w:val="nil"/>
              <w:bottom w:val="nil"/>
              <w:right w:val="nil"/>
            </w:tcBorders>
            <w:shd w:val="clear" w:color="auto" w:fill="auto"/>
            <w:noWrap/>
            <w:vAlign w:val="bottom"/>
            <w:hideMark/>
          </w:tcPr>
          <w:p w14:paraId="18D1ED05" w14:textId="08E68205" w:rsidR="00104DD0" w:rsidRPr="00104DD0" w:rsidRDefault="00104DD0" w:rsidP="00104DD0">
            <w:pPr>
              <w:jc w:val="right"/>
            </w:pPr>
            <w:r w:rsidRPr="00104DD0">
              <w:t>72</w:t>
            </w:r>
          </w:p>
        </w:tc>
      </w:tr>
      <w:tr w:rsidR="00104DD0" w:rsidRPr="00B31A73" w14:paraId="71845F30" w14:textId="77777777" w:rsidTr="00222567">
        <w:trPr>
          <w:trHeight w:val="260"/>
        </w:trPr>
        <w:tc>
          <w:tcPr>
            <w:tcW w:w="1710" w:type="dxa"/>
            <w:tcBorders>
              <w:top w:val="nil"/>
              <w:left w:val="nil"/>
              <w:bottom w:val="nil"/>
              <w:right w:val="nil"/>
            </w:tcBorders>
            <w:shd w:val="clear" w:color="auto" w:fill="auto"/>
            <w:noWrap/>
            <w:vAlign w:val="bottom"/>
            <w:hideMark/>
          </w:tcPr>
          <w:p w14:paraId="3A8E02C5" w14:textId="77777777" w:rsidR="00104DD0" w:rsidRPr="00B31A73" w:rsidRDefault="00104DD0" w:rsidP="00104DD0">
            <w:pPr>
              <w:jc w:val="center"/>
            </w:pPr>
            <w:r w:rsidRPr="00B31A73">
              <w:t>15</w:t>
            </w:r>
          </w:p>
        </w:tc>
        <w:tc>
          <w:tcPr>
            <w:tcW w:w="1419" w:type="dxa"/>
            <w:tcBorders>
              <w:top w:val="nil"/>
              <w:left w:val="nil"/>
              <w:bottom w:val="nil"/>
              <w:right w:val="nil"/>
            </w:tcBorders>
            <w:shd w:val="clear" w:color="auto" w:fill="auto"/>
            <w:noWrap/>
            <w:vAlign w:val="bottom"/>
            <w:hideMark/>
          </w:tcPr>
          <w:p w14:paraId="750D21DF" w14:textId="1481E4C3" w:rsidR="00104DD0" w:rsidRPr="00104DD0" w:rsidRDefault="00104DD0" w:rsidP="00104DD0">
            <w:pPr>
              <w:jc w:val="right"/>
            </w:pPr>
            <w:r w:rsidRPr="00104DD0">
              <w:t>0.0508</w:t>
            </w:r>
          </w:p>
        </w:tc>
        <w:tc>
          <w:tcPr>
            <w:tcW w:w="1551" w:type="dxa"/>
            <w:tcBorders>
              <w:top w:val="nil"/>
              <w:left w:val="nil"/>
              <w:bottom w:val="nil"/>
              <w:right w:val="nil"/>
            </w:tcBorders>
            <w:shd w:val="clear" w:color="auto" w:fill="auto"/>
            <w:noWrap/>
            <w:vAlign w:val="bottom"/>
            <w:hideMark/>
          </w:tcPr>
          <w:p w14:paraId="13D94DD8" w14:textId="4D5858D9" w:rsidR="00104DD0" w:rsidRPr="00104DD0" w:rsidRDefault="00104DD0" w:rsidP="00104DD0">
            <w:pPr>
              <w:jc w:val="right"/>
            </w:pPr>
            <w:r w:rsidRPr="00104DD0">
              <w:t>-0.0050</w:t>
            </w:r>
          </w:p>
        </w:tc>
        <w:tc>
          <w:tcPr>
            <w:tcW w:w="1356" w:type="dxa"/>
            <w:tcBorders>
              <w:top w:val="nil"/>
              <w:left w:val="nil"/>
              <w:bottom w:val="nil"/>
              <w:right w:val="nil"/>
            </w:tcBorders>
            <w:shd w:val="clear" w:color="auto" w:fill="auto"/>
            <w:noWrap/>
            <w:vAlign w:val="bottom"/>
            <w:hideMark/>
          </w:tcPr>
          <w:p w14:paraId="128C0541" w14:textId="52832F4D" w:rsidR="00104DD0" w:rsidRPr="00104DD0" w:rsidRDefault="00104DD0" w:rsidP="00104DD0">
            <w:pPr>
              <w:jc w:val="right"/>
            </w:pPr>
            <w:r w:rsidRPr="00104DD0">
              <w:t>0.733</w:t>
            </w:r>
          </w:p>
        </w:tc>
        <w:tc>
          <w:tcPr>
            <w:tcW w:w="1884" w:type="dxa"/>
            <w:tcBorders>
              <w:top w:val="nil"/>
              <w:left w:val="nil"/>
              <w:bottom w:val="nil"/>
              <w:right w:val="nil"/>
            </w:tcBorders>
            <w:shd w:val="clear" w:color="auto" w:fill="auto"/>
            <w:noWrap/>
            <w:vAlign w:val="bottom"/>
            <w:hideMark/>
          </w:tcPr>
          <w:p w14:paraId="20B2416B" w14:textId="471EE7B5" w:rsidR="00104DD0" w:rsidRPr="00104DD0" w:rsidRDefault="00104DD0" w:rsidP="00104DD0">
            <w:pPr>
              <w:jc w:val="right"/>
            </w:pPr>
            <w:r w:rsidRPr="00104DD0">
              <w:t>72</w:t>
            </w:r>
          </w:p>
        </w:tc>
      </w:tr>
      <w:tr w:rsidR="00104DD0" w:rsidRPr="00B31A73" w14:paraId="2533EE30" w14:textId="77777777" w:rsidTr="00222567">
        <w:trPr>
          <w:trHeight w:val="260"/>
        </w:trPr>
        <w:tc>
          <w:tcPr>
            <w:tcW w:w="1710" w:type="dxa"/>
            <w:tcBorders>
              <w:top w:val="nil"/>
              <w:left w:val="nil"/>
              <w:bottom w:val="nil"/>
              <w:right w:val="nil"/>
            </w:tcBorders>
            <w:shd w:val="clear" w:color="auto" w:fill="auto"/>
            <w:noWrap/>
            <w:vAlign w:val="bottom"/>
            <w:hideMark/>
          </w:tcPr>
          <w:p w14:paraId="7E44B2EA" w14:textId="77777777" w:rsidR="00104DD0" w:rsidRPr="00B31A73" w:rsidRDefault="00104DD0" w:rsidP="00104DD0">
            <w:pPr>
              <w:jc w:val="center"/>
            </w:pPr>
            <w:r w:rsidRPr="00B31A73">
              <w:t>20</w:t>
            </w:r>
          </w:p>
        </w:tc>
        <w:tc>
          <w:tcPr>
            <w:tcW w:w="1419" w:type="dxa"/>
            <w:tcBorders>
              <w:top w:val="nil"/>
              <w:left w:val="nil"/>
              <w:bottom w:val="nil"/>
              <w:right w:val="nil"/>
            </w:tcBorders>
            <w:shd w:val="clear" w:color="auto" w:fill="auto"/>
            <w:noWrap/>
            <w:vAlign w:val="bottom"/>
            <w:hideMark/>
          </w:tcPr>
          <w:p w14:paraId="2C90AC3A" w14:textId="67175C47" w:rsidR="00104DD0" w:rsidRPr="00104DD0" w:rsidRDefault="00104DD0" w:rsidP="00104DD0">
            <w:pPr>
              <w:jc w:val="right"/>
            </w:pPr>
            <w:r w:rsidRPr="00104DD0">
              <w:t>0.0529</w:t>
            </w:r>
          </w:p>
        </w:tc>
        <w:tc>
          <w:tcPr>
            <w:tcW w:w="1551" w:type="dxa"/>
            <w:tcBorders>
              <w:top w:val="nil"/>
              <w:left w:val="nil"/>
              <w:bottom w:val="nil"/>
              <w:right w:val="nil"/>
            </w:tcBorders>
            <w:shd w:val="clear" w:color="auto" w:fill="auto"/>
            <w:noWrap/>
            <w:vAlign w:val="bottom"/>
            <w:hideMark/>
          </w:tcPr>
          <w:p w14:paraId="452BF23B" w14:textId="47EE2A71" w:rsidR="00104DD0" w:rsidRPr="00104DD0" w:rsidRDefault="00104DD0" w:rsidP="00104DD0">
            <w:pPr>
              <w:jc w:val="right"/>
            </w:pPr>
            <w:r w:rsidRPr="00104DD0">
              <w:t>-0.0043</w:t>
            </w:r>
          </w:p>
        </w:tc>
        <w:tc>
          <w:tcPr>
            <w:tcW w:w="1356" w:type="dxa"/>
            <w:tcBorders>
              <w:top w:val="nil"/>
              <w:left w:val="nil"/>
              <w:bottom w:val="nil"/>
              <w:right w:val="nil"/>
            </w:tcBorders>
            <w:shd w:val="clear" w:color="auto" w:fill="auto"/>
            <w:noWrap/>
            <w:vAlign w:val="bottom"/>
            <w:hideMark/>
          </w:tcPr>
          <w:p w14:paraId="41F88E03" w14:textId="03251BDC" w:rsidR="00104DD0" w:rsidRPr="00104DD0" w:rsidRDefault="00104DD0" w:rsidP="00104DD0">
            <w:pPr>
              <w:jc w:val="right"/>
            </w:pPr>
            <w:r w:rsidRPr="00104DD0">
              <w:t>0.837</w:t>
            </w:r>
          </w:p>
        </w:tc>
        <w:tc>
          <w:tcPr>
            <w:tcW w:w="1884" w:type="dxa"/>
            <w:tcBorders>
              <w:top w:val="nil"/>
              <w:left w:val="nil"/>
              <w:bottom w:val="nil"/>
              <w:right w:val="nil"/>
            </w:tcBorders>
            <w:shd w:val="clear" w:color="auto" w:fill="auto"/>
            <w:noWrap/>
            <w:vAlign w:val="bottom"/>
            <w:hideMark/>
          </w:tcPr>
          <w:p w14:paraId="776CD4FD" w14:textId="464B7407" w:rsidR="00104DD0" w:rsidRPr="00104DD0" w:rsidRDefault="00104DD0" w:rsidP="00104DD0">
            <w:pPr>
              <w:jc w:val="right"/>
            </w:pPr>
            <w:r w:rsidRPr="00104DD0">
              <w:t>72</w:t>
            </w:r>
          </w:p>
        </w:tc>
      </w:tr>
      <w:tr w:rsidR="00104DD0" w:rsidRPr="00B31A73" w14:paraId="4B82994E" w14:textId="77777777" w:rsidTr="00222567">
        <w:trPr>
          <w:trHeight w:val="259"/>
        </w:trPr>
        <w:tc>
          <w:tcPr>
            <w:tcW w:w="1710" w:type="dxa"/>
            <w:tcBorders>
              <w:top w:val="nil"/>
              <w:left w:val="nil"/>
              <w:bottom w:val="nil"/>
              <w:right w:val="nil"/>
            </w:tcBorders>
            <w:shd w:val="clear" w:color="auto" w:fill="auto"/>
            <w:noWrap/>
            <w:vAlign w:val="bottom"/>
            <w:hideMark/>
          </w:tcPr>
          <w:p w14:paraId="54458014" w14:textId="77777777" w:rsidR="00104DD0" w:rsidRPr="00B31A73" w:rsidRDefault="00104DD0" w:rsidP="00104DD0">
            <w:pPr>
              <w:jc w:val="center"/>
            </w:pPr>
            <w:r w:rsidRPr="00B31A73">
              <w:t>25</w:t>
            </w:r>
          </w:p>
        </w:tc>
        <w:tc>
          <w:tcPr>
            <w:tcW w:w="1419" w:type="dxa"/>
            <w:tcBorders>
              <w:top w:val="nil"/>
              <w:left w:val="nil"/>
              <w:bottom w:val="nil"/>
              <w:right w:val="nil"/>
            </w:tcBorders>
            <w:shd w:val="clear" w:color="auto" w:fill="auto"/>
            <w:noWrap/>
            <w:vAlign w:val="bottom"/>
            <w:hideMark/>
          </w:tcPr>
          <w:p w14:paraId="094F548A" w14:textId="71959E9D" w:rsidR="00104DD0" w:rsidRPr="00104DD0" w:rsidRDefault="00104DD0" w:rsidP="00104DD0">
            <w:pPr>
              <w:jc w:val="right"/>
            </w:pPr>
            <w:r w:rsidRPr="00104DD0">
              <w:t>0.0528</w:t>
            </w:r>
          </w:p>
        </w:tc>
        <w:tc>
          <w:tcPr>
            <w:tcW w:w="1551" w:type="dxa"/>
            <w:tcBorders>
              <w:top w:val="nil"/>
              <w:left w:val="nil"/>
              <w:bottom w:val="nil"/>
              <w:right w:val="nil"/>
            </w:tcBorders>
            <w:shd w:val="clear" w:color="auto" w:fill="auto"/>
            <w:noWrap/>
            <w:vAlign w:val="bottom"/>
            <w:hideMark/>
          </w:tcPr>
          <w:p w14:paraId="436ADA5F" w14:textId="6A3646E3" w:rsidR="00104DD0" w:rsidRPr="00104DD0" w:rsidRDefault="00104DD0" w:rsidP="00104DD0">
            <w:pPr>
              <w:jc w:val="right"/>
            </w:pPr>
            <w:r w:rsidRPr="00104DD0">
              <w:t>-0.0033</w:t>
            </w:r>
          </w:p>
        </w:tc>
        <w:tc>
          <w:tcPr>
            <w:tcW w:w="1356" w:type="dxa"/>
            <w:tcBorders>
              <w:top w:val="nil"/>
              <w:left w:val="nil"/>
              <w:bottom w:val="nil"/>
              <w:right w:val="nil"/>
            </w:tcBorders>
            <w:shd w:val="clear" w:color="auto" w:fill="auto"/>
            <w:noWrap/>
            <w:vAlign w:val="bottom"/>
            <w:hideMark/>
          </w:tcPr>
          <w:p w14:paraId="754836BD" w14:textId="234C5C41" w:rsidR="00104DD0" w:rsidRPr="00104DD0" w:rsidRDefault="00104DD0" w:rsidP="00104DD0">
            <w:pPr>
              <w:jc w:val="right"/>
            </w:pPr>
            <w:r w:rsidRPr="00104DD0">
              <w:t>0.703</w:t>
            </w:r>
          </w:p>
        </w:tc>
        <w:tc>
          <w:tcPr>
            <w:tcW w:w="1884" w:type="dxa"/>
            <w:tcBorders>
              <w:top w:val="nil"/>
              <w:left w:val="nil"/>
              <w:bottom w:val="nil"/>
              <w:right w:val="nil"/>
            </w:tcBorders>
            <w:shd w:val="clear" w:color="auto" w:fill="auto"/>
            <w:noWrap/>
            <w:vAlign w:val="bottom"/>
            <w:hideMark/>
          </w:tcPr>
          <w:p w14:paraId="6E68F4C2" w14:textId="07556E0D" w:rsidR="00104DD0" w:rsidRPr="00104DD0" w:rsidRDefault="00104DD0" w:rsidP="00104DD0">
            <w:pPr>
              <w:jc w:val="right"/>
            </w:pPr>
            <w:r w:rsidRPr="00104DD0">
              <w:t>72</w:t>
            </w:r>
          </w:p>
        </w:tc>
      </w:tr>
      <w:tr w:rsidR="00104DD0" w:rsidRPr="00B31A73" w14:paraId="15E94FE5" w14:textId="77777777" w:rsidTr="00222567">
        <w:trPr>
          <w:trHeight w:val="260"/>
        </w:trPr>
        <w:tc>
          <w:tcPr>
            <w:tcW w:w="1710" w:type="dxa"/>
            <w:tcBorders>
              <w:top w:val="nil"/>
              <w:left w:val="nil"/>
              <w:bottom w:val="nil"/>
              <w:right w:val="nil"/>
            </w:tcBorders>
            <w:shd w:val="clear" w:color="auto" w:fill="auto"/>
            <w:noWrap/>
            <w:vAlign w:val="bottom"/>
            <w:hideMark/>
          </w:tcPr>
          <w:p w14:paraId="6C4035A7" w14:textId="77777777" w:rsidR="00104DD0" w:rsidRPr="00B31A73" w:rsidRDefault="00104DD0" w:rsidP="00104DD0">
            <w:pPr>
              <w:jc w:val="center"/>
            </w:pPr>
            <w:r w:rsidRPr="00B31A73">
              <w:t>30</w:t>
            </w:r>
          </w:p>
        </w:tc>
        <w:tc>
          <w:tcPr>
            <w:tcW w:w="1419" w:type="dxa"/>
            <w:tcBorders>
              <w:top w:val="nil"/>
              <w:left w:val="nil"/>
              <w:bottom w:val="nil"/>
              <w:right w:val="nil"/>
            </w:tcBorders>
            <w:shd w:val="clear" w:color="auto" w:fill="auto"/>
            <w:noWrap/>
            <w:vAlign w:val="bottom"/>
            <w:hideMark/>
          </w:tcPr>
          <w:p w14:paraId="76572C38" w14:textId="007417CD" w:rsidR="00104DD0" w:rsidRPr="00104DD0" w:rsidRDefault="00104DD0" w:rsidP="00104DD0">
            <w:pPr>
              <w:jc w:val="right"/>
            </w:pPr>
            <w:r w:rsidRPr="00104DD0">
              <w:t>0.0527</w:t>
            </w:r>
          </w:p>
        </w:tc>
        <w:tc>
          <w:tcPr>
            <w:tcW w:w="1551" w:type="dxa"/>
            <w:tcBorders>
              <w:top w:val="nil"/>
              <w:left w:val="nil"/>
              <w:bottom w:val="nil"/>
              <w:right w:val="nil"/>
            </w:tcBorders>
            <w:shd w:val="clear" w:color="auto" w:fill="auto"/>
            <w:noWrap/>
            <w:vAlign w:val="bottom"/>
            <w:hideMark/>
          </w:tcPr>
          <w:p w14:paraId="0948578F" w14:textId="2492AE9C" w:rsidR="00104DD0" w:rsidRPr="00104DD0" w:rsidRDefault="00104DD0" w:rsidP="00104DD0">
            <w:pPr>
              <w:jc w:val="right"/>
            </w:pPr>
            <w:r w:rsidRPr="00104DD0">
              <w:t>-0.0025</w:t>
            </w:r>
          </w:p>
        </w:tc>
        <w:tc>
          <w:tcPr>
            <w:tcW w:w="1356" w:type="dxa"/>
            <w:tcBorders>
              <w:top w:val="nil"/>
              <w:left w:val="nil"/>
              <w:bottom w:val="nil"/>
              <w:right w:val="nil"/>
            </w:tcBorders>
            <w:shd w:val="clear" w:color="auto" w:fill="auto"/>
            <w:noWrap/>
            <w:vAlign w:val="bottom"/>
            <w:hideMark/>
          </w:tcPr>
          <w:p w14:paraId="3753BC20" w14:textId="26AAD432" w:rsidR="00104DD0" w:rsidRPr="00104DD0" w:rsidRDefault="00104DD0" w:rsidP="00104DD0">
            <w:pPr>
              <w:jc w:val="right"/>
            </w:pPr>
            <w:r w:rsidRPr="00104DD0">
              <w:t>0.543</w:t>
            </w:r>
          </w:p>
        </w:tc>
        <w:tc>
          <w:tcPr>
            <w:tcW w:w="1884" w:type="dxa"/>
            <w:tcBorders>
              <w:top w:val="nil"/>
              <w:left w:val="nil"/>
              <w:bottom w:val="nil"/>
              <w:right w:val="nil"/>
            </w:tcBorders>
            <w:shd w:val="clear" w:color="auto" w:fill="auto"/>
            <w:noWrap/>
            <w:vAlign w:val="bottom"/>
            <w:hideMark/>
          </w:tcPr>
          <w:p w14:paraId="2264F3CA" w14:textId="18754A08" w:rsidR="00104DD0" w:rsidRPr="00104DD0" w:rsidRDefault="00104DD0" w:rsidP="00104DD0">
            <w:pPr>
              <w:jc w:val="right"/>
            </w:pPr>
            <w:r w:rsidRPr="00104DD0">
              <w:t>72</w:t>
            </w:r>
          </w:p>
        </w:tc>
      </w:tr>
    </w:tbl>
    <w:p w14:paraId="2CA8876F" w14:textId="7F5C4DEC" w:rsidR="007D4267" w:rsidRDefault="000F57FF" w:rsidP="00CA6307">
      <w:pPr>
        <w:rPr>
          <w:b/>
        </w:rPr>
      </w:pPr>
      <w:r>
        <w:rPr>
          <w:b/>
          <w:noProof/>
        </w:rPr>
        <mc:AlternateContent>
          <mc:Choice Requires="wps">
            <w:drawing>
              <wp:anchor distT="0" distB="0" distL="114300" distR="114300" simplePos="0" relativeHeight="251661312" behindDoc="0" locked="0" layoutInCell="1" allowOverlap="1" wp14:anchorId="51E6EAEB" wp14:editId="19C3839D">
                <wp:simplePos x="0" y="0"/>
                <wp:positionH relativeFrom="column">
                  <wp:posOffset>204107</wp:posOffset>
                </wp:positionH>
                <wp:positionV relativeFrom="paragraph">
                  <wp:posOffset>126909</wp:posOffset>
                </wp:positionV>
                <wp:extent cx="5478235" cy="506186"/>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5478235" cy="506186"/>
                        </a:xfrm>
                        <a:prstGeom prst="rect">
                          <a:avLst/>
                        </a:prstGeom>
                        <a:solidFill>
                          <a:schemeClr val="lt1"/>
                        </a:solidFill>
                        <a:ln w="6350">
                          <a:noFill/>
                        </a:ln>
                      </wps:spPr>
                      <wps:txbx>
                        <w:txbxContent>
                          <w:p w14:paraId="6F135A9C" w14:textId="77777777" w:rsidR="00104DD0" w:rsidRDefault="00104DD0" w:rsidP="000F57FF">
                            <w:pPr>
                              <w:rPr>
                                <w:sz w:val="18"/>
                                <w:szCs w:val="18"/>
                              </w:rPr>
                            </w:pPr>
                            <w:r>
                              <w:rPr>
                                <w:sz w:val="18"/>
                                <w:szCs w:val="18"/>
                              </w:rPr>
                              <w:t>Source: Robert Shiller data, author’s calculations</w:t>
                            </w:r>
                          </w:p>
                          <w:p w14:paraId="00BC337E" w14:textId="79C3FED0" w:rsidR="00104DD0" w:rsidRPr="000F57FF" w:rsidRDefault="00104DD0" w:rsidP="000F57FF">
                            <w:pPr>
                              <w:rPr>
                                <w:sz w:val="18"/>
                                <w:szCs w:val="18"/>
                              </w:rPr>
                            </w:pPr>
                            <w:r w:rsidRPr="000F57FF">
                              <w:rPr>
                                <w:sz w:val="18"/>
                                <w:szCs w:val="18"/>
                              </w:rPr>
                              <w:t xml:space="preserve">Note: </w:t>
                            </w:r>
                            <w:r>
                              <w:rPr>
                                <w:sz w:val="18"/>
                                <w:szCs w:val="18"/>
                              </w:rPr>
                              <w:t xml:space="preserve">the first three </w:t>
                            </w:r>
                            <w:r w:rsidRPr="000F57FF">
                              <w:rPr>
                                <w:sz w:val="18"/>
                                <w:szCs w:val="18"/>
                              </w:rPr>
                              <w:t xml:space="preserve">datasets end in the year that is the length of the forecast period prior to 2018, with the forecast period </w:t>
                            </w:r>
                            <w:r>
                              <w:rPr>
                                <w:sz w:val="18"/>
                                <w:szCs w:val="18"/>
                              </w:rPr>
                              <w:t>based on the year the dataset ends until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6EAEB" id="Text Box 4" o:spid="_x0000_s1030" type="#_x0000_t202" style="position:absolute;margin-left:16.05pt;margin-top:10pt;width:431.3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" fillcolor="white [3201]" stroked="f" strokeweight=".5pt">
                <v:textbox>
                  <w:txbxContent>
                    <w:p w14:paraId="6F135A9C" w14:textId="77777777" w:rsidR="00104DD0" w:rsidRDefault="00104DD0" w:rsidP="000F57FF">
                      <w:pPr>
                        <w:rPr>
                          <w:sz w:val="18"/>
                          <w:szCs w:val="18"/>
                        </w:rPr>
                      </w:pPr>
                      <w:r>
                        <w:rPr>
                          <w:sz w:val="18"/>
                          <w:szCs w:val="18"/>
                        </w:rPr>
                        <w:t>Source: Robert Shiller data, author’s calculations</w:t>
                      </w:r>
                    </w:p>
                    <w:p w14:paraId="00BC337E" w14:textId="79C3FED0" w:rsidR="00104DD0" w:rsidRPr="000F57FF" w:rsidRDefault="00104DD0" w:rsidP="000F57FF">
                      <w:pPr>
                        <w:rPr>
                          <w:sz w:val="18"/>
                          <w:szCs w:val="18"/>
                        </w:rPr>
                      </w:pPr>
                      <w:r w:rsidRPr="000F57FF">
                        <w:rPr>
                          <w:sz w:val="18"/>
                          <w:szCs w:val="18"/>
                        </w:rPr>
                        <w:t xml:space="preserve">Note: </w:t>
                      </w:r>
                      <w:r>
                        <w:rPr>
                          <w:sz w:val="18"/>
                          <w:szCs w:val="18"/>
                        </w:rPr>
                        <w:t xml:space="preserve">the first three </w:t>
                      </w:r>
                      <w:r w:rsidRPr="000F57FF">
                        <w:rPr>
                          <w:sz w:val="18"/>
                          <w:szCs w:val="18"/>
                        </w:rPr>
                        <w:t xml:space="preserve">datasets end in the year that is the length of the forecast period prior to 2018, with the forecast period </w:t>
                      </w:r>
                      <w:r>
                        <w:rPr>
                          <w:sz w:val="18"/>
                          <w:szCs w:val="18"/>
                        </w:rPr>
                        <w:t>based on the year the dataset ends until 2018.</w:t>
                      </w:r>
                    </w:p>
                  </w:txbxContent>
                </v:textbox>
              </v:shape>
            </w:pict>
          </mc:Fallback>
        </mc:AlternateContent>
      </w:r>
    </w:p>
    <w:p w14:paraId="578B0AC2" w14:textId="4D6D90E4" w:rsidR="003F022A" w:rsidRDefault="003F022A" w:rsidP="00CA6307">
      <w:pPr>
        <w:rPr>
          <w:b/>
        </w:rPr>
      </w:pPr>
    </w:p>
    <w:p w14:paraId="45741B98" w14:textId="77777777" w:rsidR="00815A39" w:rsidRDefault="00815A39" w:rsidP="00CA6307">
      <w:pPr>
        <w:rPr>
          <w:b/>
        </w:rPr>
      </w:pPr>
    </w:p>
    <w:p w14:paraId="2799CEA1" w14:textId="5298C204" w:rsidR="00815A39" w:rsidRDefault="00815A39">
      <w:pPr>
        <w:spacing w:after="160" w:line="259" w:lineRule="auto"/>
        <w:rPr>
          <w:b/>
        </w:rPr>
      </w:pPr>
      <w:r>
        <w:rPr>
          <w:b/>
        </w:rPr>
        <w:br w:type="page"/>
      </w:r>
    </w:p>
    <w:p w14:paraId="4957F0E3" w14:textId="77777777" w:rsidR="00815A39" w:rsidRDefault="00815A39" w:rsidP="00CA6307">
      <w:pPr>
        <w:rPr>
          <w:b/>
        </w:rPr>
      </w:pPr>
    </w:p>
    <w:p w14:paraId="08E396CE" w14:textId="12537AC7" w:rsidR="007D4267" w:rsidRPr="00B872AC" w:rsidRDefault="00B872AC" w:rsidP="00CA6307">
      <w:pPr>
        <w:rPr>
          <w:b/>
        </w:rPr>
      </w:pPr>
      <w:r w:rsidRPr="00B872AC">
        <w:rPr>
          <w:b/>
        </w:rPr>
        <w:t>Table 6</w:t>
      </w:r>
    </w:p>
    <w:tbl>
      <w:tblPr>
        <w:tblStyle w:val="GridTable4-Accent3"/>
        <w:tblW w:w="9985" w:type="dxa"/>
        <w:tblLayout w:type="fixed"/>
        <w:tblLook w:val="04A0" w:firstRow="1" w:lastRow="0" w:firstColumn="1" w:lastColumn="0" w:noHBand="0" w:noVBand="1"/>
      </w:tblPr>
      <w:tblGrid>
        <w:gridCol w:w="1795"/>
        <w:gridCol w:w="2047"/>
        <w:gridCol w:w="2003"/>
        <w:gridCol w:w="45"/>
        <w:gridCol w:w="2047"/>
        <w:gridCol w:w="2048"/>
      </w:tblGrid>
      <w:tr w:rsidR="00C723D2" w:rsidRPr="00B31A73" w14:paraId="64166ACE" w14:textId="77777777" w:rsidTr="00C723D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5" w:type="dxa"/>
            <w:noWrap/>
          </w:tcPr>
          <w:p w14:paraId="5680DED8" w14:textId="77777777" w:rsidR="00C723D2" w:rsidRPr="00B31A73" w:rsidRDefault="00C723D2" w:rsidP="006A7657"/>
        </w:tc>
        <w:tc>
          <w:tcPr>
            <w:tcW w:w="4050" w:type="dxa"/>
            <w:gridSpan w:val="2"/>
            <w:noWrap/>
          </w:tcPr>
          <w:p w14:paraId="65AD430B" w14:textId="267BE8C0" w:rsidR="00C723D2" w:rsidRPr="00B31A73" w:rsidRDefault="00C723D2" w:rsidP="006A7657">
            <w:pPr>
              <w:jc w:val="center"/>
              <w:cnfStyle w:val="100000000000" w:firstRow="1" w:lastRow="0" w:firstColumn="0" w:lastColumn="0" w:oddVBand="0" w:evenVBand="0" w:oddHBand="0" w:evenHBand="0" w:firstRowFirstColumn="0" w:firstRowLastColumn="0" w:lastRowFirstColumn="0" w:lastRowLastColumn="0"/>
              <w:rPr>
                <w:u w:val="single"/>
              </w:rPr>
            </w:pPr>
            <w:r>
              <w:rPr>
                <w:u w:val="single"/>
              </w:rPr>
              <w:t>10-Year ERP</w:t>
            </w:r>
          </w:p>
        </w:tc>
        <w:tc>
          <w:tcPr>
            <w:tcW w:w="4140" w:type="dxa"/>
            <w:gridSpan w:val="3"/>
          </w:tcPr>
          <w:p w14:paraId="588E3F12" w14:textId="76327699" w:rsidR="00C723D2" w:rsidRPr="00B31A73" w:rsidRDefault="00C723D2" w:rsidP="006A7657">
            <w:pPr>
              <w:jc w:val="center"/>
              <w:cnfStyle w:val="100000000000" w:firstRow="1" w:lastRow="0" w:firstColumn="0" w:lastColumn="0" w:oddVBand="0" w:evenVBand="0" w:oddHBand="0" w:evenHBand="0" w:firstRowFirstColumn="0" w:firstRowLastColumn="0" w:lastRowFirstColumn="0" w:lastRowLastColumn="0"/>
              <w:rPr>
                <w:u w:val="single"/>
              </w:rPr>
            </w:pPr>
            <w:r>
              <w:rPr>
                <w:u w:val="single"/>
              </w:rPr>
              <w:t>20-Year ERP</w:t>
            </w:r>
          </w:p>
        </w:tc>
      </w:tr>
      <w:tr w:rsidR="006A7657" w:rsidRPr="00B31A73" w14:paraId="2021624D" w14:textId="277E2C76" w:rsidTr="00C723D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5420AFDB" w14:textId="77777777" w:rsidR="006A7657" w:rsidRPr="00B31A73" w:rsidRDefault="006A7657" w:rsidP="006A7657"/>
        </w:tc>
        <w:tc>
          <w:tcPr>
            <w:tcW w:w="2047" w:type="dxa"/>
            <w:noWrap/>
            <w:hideMark/>
          </w:tcPr>
          <w:p w14:paraId="05073543" w14:textId="408444CA" w:rsidR="006A7657" w:rsidRPr="00B31A73" w:rsidRDefault="00C723D2" w:rsidP="006A7657">
            <w:pPr>
              <w:jc w:val="center"/>
              <w:cnfStyle w:val="000000100000" w:firstRow="0" w:lastRow="0" w:firstColumn="0" w:lastColumn="0" w:oddVBand="0" w:evenVBand="0" w:oddHBand="1" w:evenHBand="0" w:firstRowFirstColumn="0" w:firstRowLastColumn="0" w:lastRowFirstColumn="0" w:lastRowLastColumn="0"/>
              <w:rPr>
                <w:u w:val="single"/>
              </w:rPr>
            </w:pPr>
            <w:r>
              <w:rPr>
                <w:u w:val="single"/>
              </w:rPr>
              <w:t>Highest</w:t>
            </w:r>
            <w:r w:rsidR="006A7657">
              <w:rPr>
                <w:u w:val="single"/>
              </w:rPr>
              <w:t xml:space="preserve"> </w:t>
            </w:r>
          </w:p>
        </w:tc>
        <w:tc>
          <w:tcPr>
            <w:tcW w:w="2048" w:type="dxa"/>
            <w:gridSpan w:val="2"/>
            <w:noWrap/>
            <w:hideMark/>
          </w:tcPr>
          <w:p w14:paraId="0092F082" w14:textId="53484329" w:rsidR="006A7657" w:rsidRPr="00B31A73" w:rsidRDefault="00C723D2" w:rsidP="006A7657">
            <w:pPr>
              <w:jc w:val="center"/>
              <w:cnfStyle w:val="000000100000" w:firstRow="0" w:lastRow="0" w:firstColumn="0" w:lastColumn="0" w:oddVBand="0" w:evenVBand="0" w:oddHBand="1" w:evenHBand="0" w:firstRowFirstColumn="0" w:firstRowLastColumn="0" w:lastRowFirstColumn="0" w:lastRowLastColumn="0"/>
              <w:rPr>
                <w:u w:val="single"/>
              </w:rPr>
            </w:pPr>
            <w:r>
              <w:rPr>
                <w:u w:val="single"/>
              </w:rPr>
              <w:t>Lowest</w:t>
            </w:r>
          </w:p>
        </w:tc>
        <w:tc>
          <w:tcPr>
            <w:tcW w:w="2047" w:type="dxa"/>
          </w:tcPr>
          <w:p w14:paraId="2E7C7772" w14:textId="7F23E4E3" w:rsidR="006A7657" w:rsidRPr="00B31A73" w:rsidRDefault="00C723D2" w:rsidP="006A7657">
            <w:pPr>
              <w:jc w:val="center"/>
              <w:cnfStyle w:val="000000100000" w:firstRow="0" w:lastRow="0" w:firstColumn="0" w:lastColumn="0" w:oddVBand="0" w:evenVBand="0" w:oddHBand="1" w:evenHBand="0" w:firstRowFirstColumn="0" w:firstRowLastColumn="0" w:lastRowFirstColumn="0" w:lastRowLastColumn="0"/>
              <w:rPr>
                <w:u w:val="single"/>
              </w:rPr>
            </w:pPr>
            <w:r>
              <w:rPr>
                <w:u w:val="single"/>
              </w:rPr>
              <w:t>Highest</w:t>
            </w:r>
          </w:p>
        </w:tc>
        <w:tc>
          <w:tcPr>
            <w:tcW w:w="2048" w:type="dxa"/>
          </w:tcPr>
          <w:p w14:paraId="77FF1C50" w14:textId="5CFE0456" w:rsidR="006A7657" w:rsidRPr="00B31A73" w:rsidRDefault="00C723D2" w:rsidP="006A7657">
            <w:pPr>
              <w:jc w:val="center"/>
              <w:cnfStyle w:val="000000100000" w:firstRow="0" w:lastRow="0" w:firstColumn="0" w:lastColumn="0" w:oddVBand="0" w:evenVBand="0" w:oddHBand="1" w:evenHBand="0" w:firstRowFirstColumn="0" w:firstRowLastColumn="0" w:lastRowFirstColumn="0" w:lastRowLastColumn="0"/>
              <w:rPr>
                <w:u w:val="single"/>
              </w:rPr>
            </w:pPr>
            <w:r>
              <w:rPr>
                <w:u w:val="single"/>
              </w:rPr>
              <w:t>Lowest</w:t>
            </w:r>
          </w:p>
        </w:tc>
      </w:tr>
      <w:tr w:rsidR="006A7657" w:rsidRPr="00B31A73" w14:paraId="368F5B84" w14:textId="10EE2958" w:rsidTr="00C723D2">
        <w:trPr>
          <w:trHeight w:val="26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BC4EADB" w14:textId="77777777" w:rsidR="006A7657" w:rsidRPr="00B31A73" w:rsidRDefault="006A7657" w:rsidP="006A7657">
            <w:r w:rsidRPr="00B31A73">
              <w:t>Year (BOY)</w:t>
            </w:r>
          </w:p>
        </w:tc>
        <w:tc>
          <w:tcPr>
            <w:tcW w:w="2047" w:type="dxa"/>
            <w:noWrap/>
            <w:hideMark/>
          </w:tcPr>
          <w:p w14:paraId="0C72B275" w14:textId="77777777" w:rsidR="006A7657" w:rsidRPr="00B31A73" w:rsidRDefault="006A7657" w:rsidP="006A7657">
            <w:pPr>
              <w:jc w:val="center"/>
              <w:cnfStyle w:val="000000000000" w:firstRow="0" w:lastRow="0" w:firstColumn="0" w:lastColumn="0" w:oddVBand="0" w:evenVBand="0" w:oddHBand="0" w:evenHBand="0" w:firstRowFirstColumn="0" w:firstRowLastColumn="0" w:lastRowFirstColumn="0" w:lastRowLastColumn="0"/>
            </w:pPr>
            <w:r w:rsidRPr="00B31A73">
              <w:t>1941</w:t>
            </w:r>
          </w:p>
        </w:tc>
        <w:tc>
          <w:tcPr>
            <w:tcW w:w="2048" w:type="dxa"/>
            <w:gridSpan w:val="2"/>
            <w:noWrap/>
            <w:hideMark/>
          </w:tcPr>
          <w:p w14:paraId="2734FB09" w14:textId="77777777" w:rsidR="006A7657" w:rsidRPr="00B31A73" w:rsidRDefault="006A7657" w:rsidP="006A7657">
            <w:pPr>
              <w:jc w:val="center"/>
              <w:cnfStyle w:val="000000000000" w:firstRow="0" w:lastRow="0" w:firstColumn="0" w:lastColumn="0" w:oddVBand="0" w:evenVBand="0" w:oddHBand="0" w:evenHBand="0" w:firstRowFirstColumn="0" w:firstRowLastColumn="0" w:lastRowFirstColumn="0" w:lastRowLastColumn="0"/>
            </w:pPr>
            <w:r w:rsidRPr="00B31A73">
              <w:t>2000</w:t>
            </w:r>
          </w:p>
        </w:tc>
        <w:tc>
          <w:tcPr>
            <w:tcW w:w="2047" w:type="dxa"/>
          </w:tcPr>
          <w:p w14:paraId="1BB4C740" w14:textId="0719334D" w:rsidR="006A7657" w:rsidRPr="00B31A73" w:rsidRDefault="006A7657" w:rsidP="006A7657">
            <w:pPr>
              <w:jc w:val="center"/>
              <w:cnfStyle w:val="000000000000" w:firstRow="0" w:lastRow="0" w:firstColumn="0" w:lastColumn="0" w:oddVBand="0" w:evenVBand="0" w:oddHBand="0" w:evenHBand="0" w:firstRowFirstColumn="0" w:firstRowLastColumn="0" w:lastRowFirstColumn="0" w:lastRowLastColumn="0"/>
            </w:pPr>
            <w:r w:rsidRPr="00B31A73">
              <w:t>1941</w:t>
            </w:r>
          </w:p>
        </w:tc>
        <w:tc>
          <w:tcPr>
            <w:tcW w:w="2048" w:type="dxa"/>
          </w:tcPr>
          <w:p w14:paraId="014C9129" w14:textId="6CD1BA8E" w:rsidR="006A7657" w:rsidRPr="00B31A73" w:rsidRDefault="006A7657" w:rsidP="006A7657">
            <w:pPr>
              <w:jc w:val="center"/>
              <w:cnfStyle w:val="000000000000" w:firstRow="0" w:lastRow="0" w:firstColumn="0" w:lastColumn="0" w:oddVBand="0" w:evenVBand="0" w:oddHBand="0" w:evenHBand="0" w:firstRowFirstColumn="0" w:firstRowLastColumn="0" w:lastRowFirstColumn="0" w:lastRowLastColumn="0"/>
            </w:pPr>
            <w:r w:rsidRPr="00B31A73">
              <w:t>2000</w:t>
            </w:r>
          </w:p>
        </w:tc>
      </w:tr>
      <w:tr w:rsidR="006A7657" w:rsidRPr="00B31A73" w14:paraId="0612A317" w14:textId="71697A21" w:rsidTr="00C723D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4B6A93A" w14:textId="5CAA442F" w:rsidR="006A7657" w:rsidRPr="00B31A73" w:rsidRDefault="006A7657" w:rsidP="006A7657">
            <w:r>
              <w:t>Ex ante ERP</w:t>
            </w:r>
          </w:p>
        </w:tc>
        <w:tc>
          <w:tcPr>
            <w:tcW w:w="2047" w:type="dxa"/>
            <w:noWrap/>
            <w:hideMark/>
          </w:tcPr>
          <w:p w14:paraId="5E86DA7A" w14:textId="5486ECFC" w:rsidR="006A7657" w:rsidRPr="00B31A73" w:rsidRDefault="00F15417" w:rsidP="006A7657">
            <w:pPr>
              <w:jc w:val="center"/>
              <w:cnfStyle w:val="000000100000" w:firstRow="0" w:lastRow="0" w:firstColumn="0" w:lastColumn="0" w:oddVBand="0" w:evenVBand="0" w:oddHBand="1" w:evenHBand="0" w:firstRowFirstColumn="0" w:firstRowLastColumn="0" w:lastRowFirstColumn="0" w:lastRowLastColumn="0"/>
            </w:pPr>
            <w:r>
              <w:t>12.0</w:t>
            </w:r>
            <w:r w:rsidR="006A7657" w:rsidRPr="00B31A73">
              <w:t>%</w:t>
            </w:r>
          </w:p>
        </w:tc>
        <w:tc>
          <w:tcPr>
            <w:tcW w:w="2048" w:type="dxa"/>
            <w:gridSpan w:val="2"/>
            <w:noWrap/>
            <w:hideMark/>
          </w:tcPr>
          <w:p w14:paraId="7678744D" w14:textId="3A24CC13" w:rsidR="006A7657" w:rsidRPr="00B31A73" w:rsidRDefault="006A7657" w:rsidP="006A7657">
            <w:pPr>
              <w:jc w:val="center"/>
              <w:cnfStyle w:val="000000100000" w:firstRow="0" w:lastRow="0" w:firstColumn="0" w:lastColumn="0" w:oddVBand="0" w:evenVBand="0" w:oddHBand="1" w:evenHBand="0" w:firstRowFirstColumn="0" w:firstRowLastColumn="0" w:lastRowFirstColumn="0" w:lastRowLastColumn="0"/>
            </w:pPr>
            <w:r w:rsidRPr="00B31A73">
              <w:t>-5.</w:t>
            </w:r>
            <w:r w:rsidR="00F15417">
              <w:t>9</w:t>
            </w:r>
            <w:r w:rsidRPr="00B31A73">
              <w:t>%</w:t>
            </w:r>
          </w:p>
        </w:tc>
        <w:tc>
          <w:tcPr>
            <w:tcW w:w="2047" w:type="dxa"/>
          </w:tcPr>
          <w:p w14:paraId="767F3295" w14:textId="36311B92" w:rsidR="006A7657" w:rsidRPr="00B31A73" w:rsidRDefault="006A7657" w:rsidP="006A7657">
            <w:pPr>
              <w:jc w:val="center"/>
              <w:cnfStyle w:val="000000100000" w:firstRow="0" w:lastRow="0" w:firstColumn="0" w:lastColumn="0" w:oddVBand="0" w:evenVBand="0" w:oddHBand="1" w:evenHBand="0" w:firstRowFirstColumn="0" w:firstRowLastColumn="0" w:lastRowFirstColumn="0" w:lastRowLastColumn="0"/>
            </w:pPr>
            <w:r w:rsidRPr="00B31A73">
              <w:t>1</w:t>
            </w:r>
            <w:r w:rsidR="00C723D2">
              <w:t>0.</w:t>
            </w:r>
            <w:r w:rsidR="00F15417">
              <w:t>6</w:t>
            </w:r>
            <w:r w:rsidRPr="00B31A73">
              <w:t>%</w:t>
            </w:r>
          </w:p>
        </w:tc>
        <w:tc>
          <w:tcPr>
            <w:tcW w:w="2048" w:type="dxa"/>
          </w:tcPr>
          <w:p w14:paraId="08C46768" w14:textId="2EAC90CA" w:rsidR="006A7657" w:rsidRPr="00B31A73" w:rsidRDefault="00C723D2" w:rsidP="006A7657">
            <w:pPr>
              <w:jc w:val="center"/>
              <w:cnfStyle w:val="000000100000" w:firstRow="0" w:lastRow="0" w:firstColumn="0" w:lastColumn="0" w:oddVBand="0" w:evenVBand="0" w:oddHBand="1" w:evenHBand="0" w:firstRowFirstColumn="0" w:firstRowLastColumn="0" w:lastRowFirstColumn="0" w:lastRowLastColumn="0"/>
            </w:pPr>
            <w:r>
              <w:t>-</w:t>
            </w:r>
            <w:r w:rsidR="00F15417">
              <w:t>4.1</w:t>
            </w:r>
            <w:r w:rsidR="006A7657" w:rsidRPr="00B31A73">
              <w:t>%</w:t>
            </w:r>
          </w:p>
        </w:tc>
      </w:tr>
      <w:tr w:rsidR="006A7657" w:rsidRPr="00B31A73" w14:paraId="5C186A1A" w14:textId="71BFBC32" w:rsidTr="00C723D2">
        <w:trPr>
          <w:trHeight w:val="26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1407593D" w14:textId="79386621" w:rsidR="006A7657" w:rsidRPr="00B31A73" w:rsidRDefault="006A7657" w:rsidP="006A7657">
            <w:r>
              <w:t>Realized ERP</w:t>
            </w:r>
          </w:p>
        </w:tc>
        <w:tc>
          <w:tcPr>
            <w:tcW w:w="2047" w:type="dxa"/>
            <w:noWrap/>
            <w:hideMark/>
          </w:tcPr>
          <w:p w14:paraId="78F72F41" w14:textId="77777777" w:rsidR="006A7657" w:rsidRPr="00B31A73" w:rsidRDefault="006A7657" w:rsidP="006A7657">
            <w:pPr>
              <w:jc w:val="center"/>
              <w:cnfStyle w:val="000000000000" w:firstRow="0" w:lastRow="0" w:firstColumn="0" w:lastColumn="0" w:oddVBand="0" w:evenVBand="0" w:oddHBand="0" w:evenHBand="0" w:firstRowFirstColumn="0" w:firstRowLastColumn="0" w:lastRowFirstColumn="0" w:lastRowLastColumn="0"/>
            </w:pPr>
            <w:r w:rsidRPr="00B31A73">
              <w:t>11.5%</w:t>
            </w:r>
          </w:p>
        </w:tc>
        <w:tc>
          <w:tcPr>
            <w:tcW w:w="2048" w:type="dxa"/>
            <w:gridSpan w:val="2"/>
            <w:noWrap/>
            <w:hideMark/>
          </w:tcPr>
          <w:p w14:paraId="3DDCD65C" w14:textId="77777777" w:rsidR="006A7657" w:rsidRPr="00B31A73" w:rsidRDefault="006A7657" w:rsidP="006A7657">
            <w:pPr>
              <w:jc w:val="center"/>
              <w:cnfStyle w:val="000000000000" w:firstRow="0" w:lastRow="0" w:firstColumn="0" w:lastColumn="0" w:oddVBand="0" w:evenVBand="0" w:oddHBand="0" w:evenHBand="0" w:firstRowFirstColumn="0" w:firstRowLastColumn="0" w:lastRowFirstColumn="0" w:lastRowLastColumn="0"/>
            </w:pPr>
            <w:r w:rsidRPr="00B31A73">
              <w:t>-6.7%</w:t>
            </w:r>
          </w:p>
        </w:tc>
        <w:tc>
          <w:tcPr>
            <w:tcW w:w="2047" w:type="dxa"/>
          </w:tcPr>
          <w:p w14:paraId="63A3CBF0" w14:textId="11CDD3D2" w:rsidR="006A7657" w:rsidRPr="00B31A73" w:rsidRDefault="006A7657" w:rsidP="006A7657">
            <w:pPr>
              <w:jc w:val="center"/>
              <w:cnfStyle w:val="000000000000" w:firstRow="0" w:lastRow="0" w:firstColumn="0" w:lastColumn="0" w:oddVBand="0" w:evenVBand="0" w:oddHBand="0" w:evenHBand="0" w:firstRowFirstColumn="0" w:firstRowLastColumn="0" w:lastRowFirstColumn="0" w:lastRowLastColumn="0"/>
            </w:pPr>
            <w:r w:rsidRPr="00B31A73">
              <w:t>1</w:t>
            </w:r>
            <w:r w:rsidR="00C723D2">
              <w:t>2.6</w:t>
            </w:r>
            <w:r w:rsidRPr="00B31A73">
              <w:t>%</w:t>
            </w:r>
          </w:p>
        </w:tc>
        <w:tc>
          <w:tcPr>
            <w:tcW w:w="2048" w:type="dxa"/>
          </w:tcPr>
          <w:p w14:paraId="1DD3A71B" w14:textId="30980C9D" w:rsidR="006A7657" w:rsidRPr="00B31A73" w:rsidRDefault="00F15417" w:rsidP="006A7657">
            <w:pPr>
              <w:jc w:val="center"/>
              <w:cnfStyle w:val="000000000000" w:firstRow="0" w:lastRow="0" w:firstColumn="0" w:lastColumn="0" w:oddVBand="0" w:evenVBand="0" w:oddHBand="0" w:evenHBand="0" w:firstRowFirstColumn="0" w:firstRowLastColumn="0" w:lastRowFirstColumn="0" w:lastRowLastColumn="0"/>
            </w:pPr>
            <w:r>
              <w:t>0.9</w:t>
            </w:r>
            <w:r w:rsidR="006A7657" w:rsidRPr="00B31A73">
              <w:t>%</w:t>
            </w:r>
          </w:p>
        </w:tc>
      </w:tr>
    </w:tbl>
    <w:p w14:paraId="5C2009B1" w14:textId="49DC2EC0" w:rsidR="00B872AC" w:rsidRDefault="00104DD0" w:rsidP="00CA6307">
      <w:pPr>
        <w:rPr>
          <w:b/>
        </w:rPr>
      </w:pPr>
      <w:r>
        <w:rPr>
          <w:b/>
          <w:noProof/>
        </w:rPr>
        <mc:AlternateContent>
          <mc:Choice Requires="wps">
            <w:drawing>
              <wp:anchor distT="0" distB="0" distL="114300" distR="114300" simplePos="0" relativeHeight="251669504" behindDoc="0" locked="0" layoutInCell="1" allowOverlap="1" wp14:anchorId="1EFA6A1F" wp14:editId="26580930">
                <wp:simplePos x="0" y="0"/>
                <wp:positionH relativeFrom="column">
                  <wp:posOffset>0</wp:posOffset>
                </wp:positionH>
                <wp:positionV relativeFrom="paragraph">
                  <wp:posOffset>7620</wp:posOffset>
                </wp:positionV>
                <wp:extent cx="3894364" cy="236765"/>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3894364" cy="236765"/>
                        </a:xfrm>
                        <a:prstGeom prst="rect">
                          <a:avLst/>
                        </a:prstGeom>
                        <a:solidFill>
                          <a:schemeClr val="lt1"/>
                        </a:solidFill>
                        <a:ln w="6350">
                          <a:noFill/>
                        </a:ln>
                      </wps:spPr>
                      <wps:txbx>
                        <w:txbxContent>
                          <w:p w14:paraId="75A1153F" w14:textId="77777777" w:rsidR="00104DD0" w:rsidRDefault="00104DD0" w:rsidP="00104DD0">
                            <w:pPr>
                              <w:rPr>
                                <w:sz w:val="18"/>
                                <w:szCs w:val="18"/>
                              </w:rPr>
                            </w:pPr>
                            <w:r>
                              <w:rPr>
                                <w:sz w:val="18"/>
                                <w:szCs w:val="18"/>
                              </w:rPr>
                              <w:t>Source: Robert Shiller data, author’s calculations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A6A1F" id="Text Box 8" o:spid="_x0000_s1031" type="#_x0000_t202" style="position:absolute;margin-left:0;margin-top:.6pt;width:306.6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" fillcolor="white [3201]" stroked="f" strokeweight=".5pt">
                <v:textbox>
                  <w:txbxContent>
                    <w:p w14:paraId="75A1153F" w14:textId="77777777" w:rsidR="00104DD0" w:rsidRDefault="00104DD0" w:rsidP="00104DD0">
                      <w:pPr>
                        <w:rPr>
                          <w:sz w:val="18"/>
                          <w:szCs w:val="18"/>
                        </w:rPr>
                      </w:pPr>
                      <w:r>
                        <w:rPr>
                          <w:sz w:val="18"/>
                          <w:szCs w:val="18"/>
                        </w:rPr>
                        <w:t>Source: Robert Shiller data, author’s calculations</w:t>
                      </w:r>
                    </w:p>
                  </w:txbxContent>
                </v:textbox>
              </v:shape>
            </w:pict>
          </mc:Fallback>
        </mc:AlternateContent>
      </w:r>
    </w:p>
    <w:p w14:paraId="2E824F32" w14:textId="5825030F" w:rsidR="00104DD0" w:rsidRDefault="00104DD0" w:rsidP="00CA6307">
      <w:pPr>
        <w:rPr>
          <w:b/>
        </w:rPr>
      </w:pPr>
    </w:p>
    <w:p w14:paraId="1EF344BF" w14:textId="77777777" w:rsidR="00104DD0" w:rsidRDefault="00104DD0" w:rsidP="00CA6307">
      <w:pPr>
        <w:rPr>
          <w:b/>
        </w:rPr>
      </w:pPr>
    </w:p>
    <w:p w14:paraId="6270AC90" w14:textId="2E263265" w:rsidR="00B872AC" w:rsidRPr="00B872AC" w:rsidRDefault="00B872AC" w:rsidP="00CA6307">
      <w:pPr>
        <w:rPr>
          <w:b/>
        </w:rPr>
      </w:pPr>
      <w:r w:rsidRPr="00B872AC">
        <w:rPr>
          <w:b/>
        </w:rPr>
        <w:t xml:space="preserve">Table </w:t>
      </w:r>
      <w:r w:rsidR="00170484">
        <w:rPr>
          <w:b/>
        </w:rPr>
        <w:t>7</w:t>
      </w:r>
    </w:p>
    <w:tbl>
      <w:tblPr>
        <w:tblW w:w="8680" w:type="dxa"/>
        <w:tblLook w:val="04A0" w:firstRow="1" w:lastRow="0" w:firstColumn="1" w:lastColumn="0" w:noHBand="0" w:noVBand="1"/>
      </w:tblPr>
      <w:tblGrid>
        <w:gridCol w:w="1740"/>
        <w:gridCol w:w="2360"/>
        <w:gridCol w:w="2360"/>
        <w:gridCol w:w="2220"/>
      </w:tblGrid>
      <w:tr w:rsidR="00B872AC" w:rsidRPr="00B31A73" w14:paraId="2E28B6C3" w14:textId="77777777" w:rsidTr="00222567">
        <w:trPr>
          <w:trHeight w:val="260"/>
        </w:trPr>
        <w:tc>
          <w:tcPr>
            <w:tcW w:w="1740" w:type="dxa"/>
            <w:tcBorders>
              <w:top w:val="nil"/>
              <w:left w:val="nil"/>
              <w:bottom w:val="nil"/>
              <w:right w:val="nil"/>
            </w:tcBorders>
            <w:shd w:val="clear" w:color="auto" w:fill="auto"/>
            <w:noWrap/>
            <w:vAlign w:val="bottom"/>
            <w:hideMark/>
          </w:tcPr>
          <w:p w14:paraId="4AD614E3" w14:textId="77777777" w:rsidR="00B872AC" w:rsidRPr="00B31A73" w:rsidRDefault="00B872AC" w:rsidP="00222567"/>
        </w:tc>
        <w:tc>
          <w:tcPr>
            <w:tcW w:w="6940" w:type="dxa"/>
            <w:gridSpan w:val="3"/>
            <w:tcBorders>
              <w:top w:val="nil"/>
              <w:left w:val="nil"/>
              <w:bottom w:val="single" w:sz="4" w:space="0" w:color="auto"/>
              <w:right w:val="nil"/>
            </w:tcBorders>
            <w:shd w:val="clear" w:color="auto" w:fill="auto"/>
            <w:noWrap/>
            <w:vAlign w:val="bottom"/>
            <w:hideMark/>
          </w:tcPr>
          <w:p w14:paraId="11EC37E3" w14:textId="3D229220" w:rsidR="00B872AC" w:rsidRPr="00B31A73" w:rsidRDefault="00B872AC" w:rsidP="00222567">
            <w:pPr>
              <w:jc w:val="center"/>
            </w:pPr>
            <w:r w:rsidRPr="00B31A73">
              <w:t xml:space="preserve">ERP Estimate as of </w:t>
            </w:r>
            <w:r w:rsidR="00D45F66">
              <w:t>October</w:t>
            </w:r>
            <w:r w:rsidRPr="00B31A73">
              <w:t>, 2018</w:t>
            </w:r>
          </w:p>
        </w:tc>
      </w:tr>
      <w:tr w:rsidR="00B872AC" w:rsidRPr="00B31A73" w14:paraId="399FEE7F" w14:textId="77777777" w:rsidTr="00222567">
        <w:trPr>
          <w:trHeight w:val="518"/>
        </w:trPr>
        <w:tc>
          <w:tcPr>
            <w:tcW w:w="1740" w:type="dxa"/>
            <w:tcBorders>
              <w:top w:val="nil"/>
              <w:left w:val="nil"/>
              <w:bottom w:val="nil"/>
              <w:right w:val="nil"/>
            </w:tcBorders>
            <w:shd w:val="clear" w:color="auto" w:fill="auto"/>
            <w:vAlign w:val="bottom"/>
            <w:hideMark/>
          </w:tcPr>
          <w:p w14:paraId="6AF832A0" w14:textId="77777777" w:rsidR="00B872AC" w:rsidRPr="00B31A73" w:rsidRDefault="00B872AC" w:rsidP="00222567">
            <w:pPr>
              <w:jc w:val="center"/>
            </w:pPr>
            <w:r w:rsidRPr="00B31A73">
              <w:t>Forecast Period</w:t>
            </w:r>
          </w:p>
        </w:tc>
        <w:tc>
          <w:tcPr>
            <w:tcW w:w="2360" w:type="dxa"/>
            <w:tcBorders>
              <w:top w:val="nil"/>
              <w:left w:val="nil"/>
              <w:bottom w:val="single" w:sz="4" w:space="0" w:color="000000"/>
              <w:right w:val="nil"/>
            </w:tcBorders>
            <w:shd w:val="clear" w:color="auto" w:fill="auto"/>
            <w:vAlign w:val="bottom"/>
            <w:hideMark/>
          </w:tcPr>
          <w:p w14:paraId="4EBB1185" w14:textId="77777777" w:rsidR="00B872AC" w:rsidRPr="00B31A73" w:rsidRDefault="00B872AC" w:rsidP="00222567">
            <w:pPr>
              <w:jc w:val="center"/>
            </w:pPr>
            <w:r w:rsidRPr="00B31A73">
              <w:t>Dataset 1881-</w:t>
            </w:r>
          </w:p>
        </w:tc>
        <w:tc>
          <w:tcPr>
            <w:tcW w:w="2360" w:type="dxa"/>
            <w:tcBorders>
              <w:top w:val="nil"/>
              <w:left w:val="nil"/>
              <w:bottom w:val="single" w:sz="4" w:space="0" w:color="000000"/>
              <w:right w:val="nil"/>
            </w:tcBorders>
            <w:shd w:val="clear" w:color="auto" w:fill="auto"/>
            <w:vAlign w:val="bottom"/>
            <w:hideMark/>
          </w:tcPr>
          <w:p w14:paraId="799BFCA5" w14:textId="77777777" w:rsidR="00B872AC" w:rsidRPr="00B31A73" w:rsidRDefault="00B872AC" w:rsidP="00222567">
            <w:pPr>
              <w:jc w:val="center"/>
            </w:pPr>
            <w:r w:rsidRPr="00B31A73">
              <w:t>Dataset 1926-</w:t>
            </w:r>
          </w:p>
        </w:tc>
        <w:tc>
          <w:tcPr>
            <w:tcW w:w="2220" w:type="dxa"/>
            <w:tcBorders>
              <w:top w:val="nil"/>
              <w:left w:val="nil"/>
              <w:bottom w:val="single" w:sz="4" w:space="0" w:color="000000"/>
              <w:right w:val="nil"/>
            </w:tcBorders>
            <w:shd w:val="clear" w:color="auto" w:fill="auto"/>
            <w:vAlign w:val="bottom"/>
            <w:hideMark/>
          </w:tcPr>
          <w:p w14:paraId="70384445" w14:textId="77777777" w:rsidR="00B872AC" w:rsidRPr="00B31A73" w:rsidRDefault="00B872AC" w:rsidP="00222567">
            <w:pPr>
              <w:jc w:val="center"/>
            </w:pPr>
            <w:r w:rsidRPr="00B31A73">
              <w:t>Dataset 1953-</w:t>
            </w:r>
          </w:p>
        </w:tc>
      </w:tr>
      <w:tr w:rsidR="00B872AC" w:rsidRPr="00B31A73" w14:paraId="59EF8B2E" w14:textId="77777777" w:rsidTr="00222567">
        <w:trPr>
          <w:trHeight w:val="260"/>
        </w:trPr>
        <w:tc>
          <w:tcPr>
            <w:tcW w:w="1740" w:type="dxa"/>
            <w:tcBorders>
              <w:top w:val="nil"/>
              <w:left w:val="nil"/>
              <w:bottom w:val="nil"/>
              <w:right w:val="nil"/>
            </w:tcBorders>
            <w:shd w:val="clear" w:color="auto" w:fill="auto"/>
            <w:noWrap/>
            <w:vAlign w:val="bottom"/>
            <w:hideMark/>
          </w:tcPr>
          <w:p w14:paraId="478D5979" w14:textId="77777777" w:rsidR="00B872AC" w:rsidRPr="00B31A73" w:rsidRDefault="00B872AC" w:rsidP="00222567">
            <w:pPr>
              <w:jc w:val="center"/>
            </w:pPr>
            <w:r w:rsidRPr="00B31A73">
              <w:t>10</w:t>
            </w:r>
          </w:p>
        </w:tc>
        <w:tc>
          <w:tcPr>
            <w:tcW w:w="2360" w:type="dxa"/>
            <w:tcBorders>
              <w:top w:val="single" w:sz="4" w:space="0" w:color="000000"/>
              <w:left w:val="single" w:sz="4" w:space="0" w:color="auto"/>
              <w:bottom w:val="single" w:sz="4" w:space="0" w:color="auto"/>
              <w:right w:val="single" w:sz="4" w:space="0" w:color="auto"/>
            </w:tcBorders>
            <w:shd w:val="clear" w:color="auto" w:fill="auto"/>
            <w:noWrap/>
            <w:vAlign w:val="bottom"/>
            <w:hideMark/>
          </w:tcPr>
          <w:p w14:paraId="14AE60E9" w14:textId="7602EBC0" w:rsidR="00B872AC" w:rsidRPr="00B31A73" w:rsidRDefault="00FA13BD" w:rsidP="00222567">
            <w:pPr>
              <w:jc w:val="center"/>
            </w:pPr>
            <w:r>
              <w:t>1.9</w:t>
            </w:r>
            <w:r w:rsidR="00B872AC" w:rsidRPr="00B31A73">
              <w:t>%</w:t>
            </w:r>
          </w:p>
        </w:tc>
        <w:tc>
          <w:tcPr>
            <w:tcW w:w="2360" w:type="dxa"/>
            <w:tcBorders>
              <w:top w:val="single" w:sz="4" w:space="0" w:color="000000"/>
              <w:left w:val="nil"/>
              <w:bottom w:val="single" w:sz="4" w:space="0" w:color="auto"/>
              <w:right w:val="single" w:sz="4" w:space="0" w:color="auto"/>
            </w:tcBorders>
            <w:shd w:val="clear" w:color="auto" w:fill="auto"/>
            <w:noWrap/>
            <w:vAlign w:val="bottom"/>
            <w:hideMark/>
          </w:tcPr>
          <w:p w14:paraId="00C877FB" w14:textId="557B9A06" w:rsidR="00B872AC" w:rsidRPr="00B31A73" w:rsidRDefault="00B872AC" w:rsidP="00222567">
            <w:pPr>
              <w:jc w:val="center"/>
            </w:pPr>
            <w:r w:rsidRPr="00B31A73">
              <w:t>2.</w:t>
            </w:r>
            <w:r w:rsidR="00FA13BD">
              <w:t>7</w:t>
            </w:r>
            <w:r w:rsidRPr="00B31A73">
              <w:t>%</w:t>
            </w:r>
          </w:p>
        </w:tc>
        <w:tc>
          <w:tcPr>
            <w:tcW w:w="2220" w:type="dxa"/>
            <w:tcBorders>
              <w:top w:val="single" w:sz="4" w:space="0" w:color="000000"/>
              <w:left w:val="nil"/>
              <w:bottom w:val="single" w:sz="4" w:space="0" w:color="auto"/>
              <w:right w:val="single" w:sz="4" w:space="0" w:color="auto"/>
            </w:tcBorders>
            <w:shd w:val="clear" w:color="auto" w:fill="auto"/>
            <w:noWrap/>
            <w:vAlign w:val="bottom"/>
            <w:hideMark/>
          </w:tcPr>
          <w:p w14:paraId="25AF878A" w14:textId="73722558" w:rsidR="00B872AC" w:rsidRPr="00B31A73" w:rsidRDefault="00B872AC" w:rsidP="00222567">
            <w:pPr>
              <w:jc w:val="center"/>
            </w:pPr>
            <w:r w:rsidRPr="00B31A73">
              <w:t>3.</w:t>
            </w:r>
            <w:r w:rsidR="00FA13BD">
              <w:t>5</w:t>
            </w:r>
            <w:r w:rsidRPr="00B31A73">
              <w:t>%</w:t>
            </w:r>
          </w:p>
        </w:tc>
      </w:tr>
      <w:tr w:rsidR="00B872AC" w:rsidRPr="00B31A73" w14:paraId="7C93AE4A" w14:textId="77777777" w:rsidTr="00222567">
        <w:trPr>
          <w:trHeight w:val="260"/>
        </w:trPr>
        <w:tc>
          <w:tcPr>
            <w:tcW w:w="1740" w:type="dxa"/>
            <w:tcBorders>
              <w:top w:val="nil"/>
              <w:left w:val="nil"/>
              <w:bottom w:val="nil"/>
              <w:right w:val="nil"/>
            </w:tcBorders>
            <w:shd w:val="clear" w:color="auto" w:fill="auto"/>
            <w:noWrap/>
            <w:vAlign w:val="bottom"/>
            <w:hideMark/>
          </w:tcPr>
          <w:p w14:paraId="55BB4514" w14:textId="77777777" w:rsidR="00B872AC" w:rsidRPr="00B31A73" w:rsidRDefault="00B872AC" w:rsidP="00222567">
            <w:pPr>
              <w:jc w:val="center"/>
            </w:pPr>
            <w:r w:rsidRPr="00B31A73">
              <w:t>20</w:t>
            </w:r>
          </w:p>
        </w:tc>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0C55FEDD" w14:textId="50D2DCE8" w:rsidR="00B872AC" w:rsidRPr="00B31A73" w:rsidRDefault="00B872AC" w:rsidP="00222567">
            <w:pPr>
              <w:jc w:val="center"/>
            </w:pPr>
            <w:r w:rsidRPr="00B31A73">
              <w:t>2.</w:t>
            </w:r>
            <w:r w:rsidR="00FA13BD">
              <w:t>3</w:t>
            </w:r>
            <w:r w:rsidRPr="00B31A73">
              <w:t>%</w:t>
            </w:r>
          </w:p>
        </w:tc>
        <w:tc>
          <w:tcPr>
            <w:tcW w:w="2360" w:type="dxa"/>
            <w:tcBorders>
              <w:top w:val="nil"/>
              <w:left w:val="nil"/>
              <w:bottom w:val="single" w:sz="4" w:space="0" w:color="auto"/>
              <w:right w:val="single" w:sz="4" w:space="0" w:color="auto"/>
            </w:tcBorders>
            <w:shd w:val="clear" w:color="auto" w:fill="auto"/>
            <w:noWrap/>
            <w:vAlign w:val="bottom"/>
            <w:hideMark/>
          </w:tcPr>
          <w:p w14:paraId="5A1F1BA8" w14:textId="401906AB" w:rsidR="00B872AC" w:rsidRPr="00B31A73" w:rsidRDefault="00B872AC" w:rsidP="00222567">
            <w:pPr>
              <w:jc w:val="center"/>
            </w:pPr>
            <w:r w:rsidRPr="00B31A73">
              <w:t>3.</w:t>
            </w:r>
            <w:r w:rsidR="00FA13BD">
              <w:t>1</w:t>
            </w:r>
            <w:r w:rsidRPr="00B31A73">
              <w:t>%</w:t>
            </w:r>
          </w:p>
        </w:tc>
        <w:tc>
          <w:tcPr>
            <w:tcW w:w="2220" w:type="dxa"/>
            <w:tcBorders>
              <w:top w:val="nil"/>
              <w:left w:val="nil"/>
              <w:bottom w:val="single" w:sz="4" w:space="0" w:color="auto"/>
              <w:right w:val="single" w:sz="4" w:space="0" w:color="auto"/>
            </w:tcBorders>
            <w:shd w:val="clear" w:color="auto" w:fill="auto"/>
            <w:noWrap/>
            <w:vAlign w:val="bottom"/>
            <w:hideMark/>
          </w:tcPr>
          <w:p w14:paraId="7674DEC9" w14:textId="59738014" w:rsidR="00B872AC" w:rsidRPr="00B31A73" w:rsidRDefault="00B872AC" w:rsidP="00222567">
            <w:pPr>
              <w:jc w:val="center"/>
            </w:pPr>
            <w:r w:rsidRPr="00B31A73">
              <w:t>3.</w:t>
            </w:r>
            <w:r w:rsidR="00FA13BD">
              <w:t>1</w:t>
            </w:r>
            <w:r w:rsidRPr="00B31A73">
              <w:t>%</w:t>
            </w:r>
          </w:p>
        </w:tc>
      </w:tr>
      <w:tr w:rsidR="00B872AC" w:rsidRPr="00B31A73" w14:paraId="3C6E950D" w14:textId="77777777" w:rsidTr="00222567">
        <w:trPr>
          <w:trHeight w:val="260"/>
        </w:trPr>
        <w:tc>
          <w:tcPr>
            <w:tcW w:w="1740" w:type="dxa"/>
            <w:tcBorders>
              <w:top w:val="nil"/>
              <w:left w:val="nil"/>
              <w:bottom w:val="nil"/>
              <w:right w:val="nil"/>
            </w:tcBorders>
            <w:shd w:val="clear" w:color="auto" w:fill="auto"/>
            <w:noWrap/>
            <w:vAlign w:val="bottom"/>
            <w:hideMark/>
          </w:tcPr>
          <w:p w14:paraId="48925507" w14:textId="72BA68A5" w:rsidR="00B872AC" w:rsidRPr="00B31A73" w:rsidRDefault="00B872AC" w:rsidP="00222567">
            <w:r w:rsidRPr="00B31A73">
              <w:t xml:space="preserve">ERS at </w:t>
            </w:r>
            <w:r w:rsidR="00FA13BD">
              <w:t>10</w:t>
            </w:r>
            <w:r w:rsidRPr="00B31A73">
              <w:t>/18</w:t>
            </w:r>
          </w:p>
        </w:tc>
        <w:tc>
          <w:tcPr>
            <w:tcW w:w="2360"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30D4C908" w14:textId="281141B6" w:rsidR="00B872AC" w:rsidRPr="00B31A73" w:rsidRDefault="00FA13BD" w:rsidP="00222567">
            <w:pPr>
              <w:jc w:val="center"/>
            </w:pPr>
            <w:r>
              <w:t>10.02</w:t>
            </w:r>
          </w:p>
        </w:tc>
        <w:tc>
          <w:tcPr>
            <w:tcW w:w="2360" w:type="dxa"/>
            <w:tcBorders>
              <w:top w:val="nil"/>
              <w:left w:val="nil"/>
              <w:bottom w:val="single" w:sz="4" w:space="0" w:color="auto"/>
              <w:right w:val="single" w:sz="4" w:space="0" w:color="auto"/>
            </w:tcBorders>
            <w:shd w:val="clear" w:color="auto" w:fill="D0CECE" w:themeFill="background2" w:themeFillShade="E6"/>
            <w:noWrap/>
            <w:vAlign w:val="bottom"/>
            <w:hideMark/>
          </w:tcPr>
          <w:p w14:paraId="6E31096D" w14:textId="2A8BC248" w:rsidR="00B872AC" w:rsidRPr="00B31A73" w:rsidRDefault="00FA13BD" w:rsidP="00222567">
            <w:pPr>
              <w:jc w:val="center"/>
            </w:pPr>
            <w:r>
              <w:t>9.02</w:t>
            </w:r>
          </w:p>
        </w:tc>
        <w:tc>
          <w:tcPr>
            <w:tcW w:w="2220" w:type="dxa"/>
            <w:tcBorders>
              <w:top w:val="nil"/>
              <w:left w:val="nil"/>
              <w:bottom w:val="single" w:sz="4" w:space="0" w:color="auto"/>
              <w:right w:val="single" w:sz="4" w:space="0" w:color="auto"/>
            </w:tcBorders>
            <w:shd w:val="clear" w:color="auto" w:fill="D0CECE" w:themeFill="background2" w:themeFillShade="E6"/>
            <w:noWrap/>
            <w:vAlign w:val="bottom"/>
            <w:hideMark/>
          </w:tcPr>
          <w:p w14:paraId="6A438C69" w14:textId="726E845C" w:rsidR="00FA13BD" w:rsidRPr="00B31A73" w:rsidRDefault="00FA13BD" w:rsidP="00FA13BD">
            <w:pPr>
              <w:jc w:val="center"/>
            </w:pPr>
            <w:r>
              <w:t>2.02</w:t>
            </w:r>
          </w:p>
        </w:tc>
      </w:tr>
    </w:tbl>
    <w:p w14:paraId="7ED19F38" w14:textId="545E1B18" w:rsidR="00B872AC" w:rsidRDefault="00104DD0" w:rsidP="00CA6307">
      <w:pPr>
        <w:rPr>
          <w:b/>
        </w:rPr>
      </w:pPr>
      <w:r>
        <w:rPr>
          <w:b/>
          <w:noProof/>
        </w:rPr>
        <mc:AlternateContent>
          <mc:Choice Requires="wps">
            <w:drawing>
              <wp:anchor distT="0" distB="0" distL="114300" distR="114300" simplePos="0" relativeHeight="251671552" behindDoc="0" locked="0" layoutInCell="1" allowOverlap="1" wp14:anchorId="48ADD169" wp14:editId="3855ED0A">
                <wp:simplePos x="0" y="0"/>
                <wp:positionH relativeFrom="column">
                  <wp:posOffset>81644</wp:posOffset>
                </wp:positionH>
                <wp:positionV relativeFrom="paragraph">
                  <wp:posOffset>123734</wp:posOffset>
                </wp:positionV>
                <wp:extent cx="2792186" cy="220436"/>
                <wp:effectExtent l="0" t="0" r="1905" b="0"/>
                <wp:wrapNone/>
                <wp:docPr id="10" name="Text Box 10"/>
                <wp:cNvGraphicFramePr/>
                <a:graphic xmlns:a="http://schemas.openxmlformats.org/drawingml/2006/main">
                  <a:graphicData uri="http://schemas.microsoft.com/office/word/2010/wordprocessingShape">
                    <wps:wsp>
                      <wps:cNvSpPr txBox="1"/>
                      <wps:spPr>
                        <a:xfrm>
                          <a:off x="0" y="0"/>
                          <a:ext cx="2792186" cy="220436"/>
                        </a:xfrm>
                        <a:prstGeom prst="rect">
                          <a:avLst/>
                        </a:prstGeom>
                        <a:solidFill>
                          <a:schemeClr val="lt1"/>
                        </a:solidFill>
                        <a:ln w="6350">
                          <a:noFill/>
                        </a:ln>
                      </wps:spPr>
                      <wps:txbx>
                        <w:txbxContent>
                          <w:p w14:paraId="517DC432" w14:textId="77777777" w:rsidR="00104DD0" w:rsidRDefault="00104DD0" w:rsidP="00104DD0">
                            <w:pPr>
                              <w:rPr>
                                <w:sz w:val="18"/>
                                <w:szCs w:val="18"/>
                              </w:rPr>
                            </w:pPr>
                            <w:r>
                              <w:rPr>
                                <w:sz w:val="18"/>
                                <w:szCs w:val="18"/>
                              </w:rPr>
                              <w:t>Source: Robert Shiller data, author’s calculations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D169" id="Text Box 10" o:spid="_x0000_s1032" type="#_x0000_t202" style="position:absolute;margin-left:6.45pt;margin-top:9.75pt;width:219.85pt;height:1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" fillcolor="white [3201]" stroked="f" strokeweight=".5pt">
                <v:textbox>
                  <w:txbxContent>
                    <w:p w14:paraId="517DC432" w14:textId="77777777" w:rsidR="00104DD0" w:rsidRDefault="00104DD0" w:rsidP="00104DD0">
                      <w:pPr>
                        <w:rPr>
                          <w:sz w:val="18"/>
                          <w:szCs w:val="18"/>
                        </w:rPr>
                      </w:pPr>
                      <w:r>
                        <w:rPr>
                          <w:sz w:val="18"/>
                          <w:szCs w:val="18"/>
                        </w:rPr>
                        <w:t>Source: Robert Shiller data, author’s calculations</w:t>
                      </w:r>
                    </w:p>
                  </w:txbxContent>
                </v:textbox>
              </v:shape>
            </w:pict>
          </mc:Fallback>
        </mc:AlternateContent>
      </w:r>
    </w:p>
    <w:p w14:paraId="14F68CA1" w14:textId="50EDF85E" w:rsidR="00104DD0" w:rsidRDefault="00104DD0" w:rsidP="00CA6307">
      <w:pPr>
        <w:rPr>
          <w:b/>
        </w:rPr>
      </w:pPr>
    </w:p>
    <w:p w14:paraId="5958B88B" w14:textId="3BAC8270" w:rsidR="00170484" w:rsidRDefault="00170484">
      <w:pPr>
        <w:rPr>
          <w:b/>
        </w:rPr>
      </w:pPr>
      <w:r>
        <w:rPr>
          <w:b/>
        </w:rPr>
        <w:br w:type="page"/>
      </w:r>
    </w:p>
    <w:p w14:paraId="6414E9A3" w14:textId="77777777" w:rsidR="00170484" w:rsidRDefault="00170484" w:rsidP="00CA6307">
      <w:pPr>
        <w:rPr>
          <w:b/>
        </w:rPr>
      </w:pPr>
    </w:p>
    <w:p w14:paraId="553A2C95" w14:textId="77777777" w:rsidR="00170484" w:rsidRPr="002E0DF4" w:rsidRDefault="00170484" w:rsidP="00170484">
      <w:pPr>
        <w:rPr>
          <w:b/>
        </w:rPr>
      </w:pPr>
      <w:r w:rsidRPr="002E0DF4">
        <w:rPr>
          <w:b/>
        </w:rPr>
        <w:t xml:space="preserve">Table </w:t>
      </w:r>
      <w:r>
        <w:rPr>
          <w:b/>
        </w:rPr>
        <w:t>8</w:t>
      </w:r>
      <w:r w:rsidRPr="002E0DF4">
        <w:rPr>
          <w:b/>
        </w:rPr>
        <w:t>a</w:t>
      </w:r>
    </w:p>
    <w:tbl>
      <w:tblPr>
        <w:tblW w:w="5600" w:type="dxa"/>
        <w:tblLook w:val="04A0" w:firstRow="1" w:lastRow="0" w:firstColumn="1" w:lastColumn="0" w:noHBand="0" w:noVBand="1"/>
      </w:tblPr>
      <w:tblGrid>
        <w:gridCol w:w="1420"/>
        <w:gridCol w:w="2270"/>
        <w:gridCol w:w="1910"/>
      </w:tblGrid>
      <w:tr w:rsidR="00170484" w:rsidRPr="002E0DF4" w14:paraId="6C2644BA" w14:textId="77777777" w:rsidTr="001D17F8">
        <w:trPr>
          <w:trHeight w:val="520"/>
        </w:trPr>
        <w:tc>
          <w:tcPr>
            <w:tcW w:w="1420" w:type="dxa"/>
            <w:tcBorders>
              <w:top w:val="nil"/>
              <w:left w:val="nil"/>
              <w:bottom w:val="nil"/>
              <w:right w:val="nil"/>
            </w:tcBorders>
            <w:shd w:val="clear" w:color="auto" w:fill="auto"/>
            <w:vAlign w:val="bottom"/>
          </w:tcPr>
          <w:p w14:paraId="33CD428C" w14:textId="77777777" w:rsidR="00170484" w:rsidRPr="00AA1FDB" w:rsidRDefault="00170484" w:rsidP="001D17F8">
            <w:pPr>
              <w:jc w:val="center"/>
              <w:rPr>
                <w:szCs w:val="20"/>
              </w:rPr>
            </w:pPr>
          </w:p>
        </w:tc>
        <w:tc>
          <w:tcPr>
            <w:tcW w:w="4180" w:type="dxa"/>
            <w:gridSpan w:val="2"/>
            <w:tcBorders>
              <w:top w:val="nil"/>
              <w:left w:val="nil"/>
              <w:bottom w:val="single" w:sz="4" w:space="0" w:color="auto"/>
              <w:right w:val="nil"/>
            </w:tcBorders>
            <w:shd w:val="clear" w:color="auto" w:fill="auto"/>
            <w:vAlign w:val="bottom"/>
          </w:tcPr>
          <w:p w14:paraId="647EB658" w14:textId="77777777" w:rsidR="00170484" w:rsidRPr="00AA1FDB" w:rsidRDefault="00170484" w:rsidP="001D17F8">
            <w:pPr>
              <w:jc w:val="center"/>
              <w:rPr>
                <w:szCs w:val="20"/>
              </w:rPr>
            </w:pPr>
            <w:r w:rsidRPr="00AA1FDB">
              <w:rPr>
                <w:szCs w:val="20"/>
              </w:rPr>
              <w:t>Based on data through BOP</w:t>
            </w:r>
          </w:p>
        </w:tc>
      </w:tr>
      <w:tr w:rsidR="00170484" w:rsidRPr="002E0DF4" w14:paraId="0D63D448" w14:textId="77777777" w:rsidTr="001D17F8">
        <w:trPr>
          <w:trHeight w:val="520"/>
        </w:trPr>
        <w:tc>
          <w:tcPr>
            <w:tcW w:w="1420" w:type="dxa"/>
            <w:tcBorders>
              <w:top w:val="nil"/>
              <w:left w:val="nil"/>
              <w:bottom w:val="nil"/>
              <w:right w:val="nil"/>
            </w:tcBorders>
            <w:shd w:val="clear" w:color="auto" w:fill="auto"/>
            <w:vAlign w:val="bottom"/>
            <w:hideMark/>
          </w:tcPr>
          <w:p w14:paraId="13278FF4" w14:textId="77777777" w:rsidR="00170484" w:rsidRPr="002E0DF4" w:rsidRDefault="00170484" w:rsidP="001D17F8">
            <w:pPr>
              <w:jc w:val="center"/>
              <w:rPr>
                <w:szCs w:val="20"/>
              </w:rPr>
            </w:pPr>
            <w:r w:rsidRPr="002E0DF4">
              <w:rPr>
                <w:szCs w:val="20"/>
              </w:rPr>
              <w:t>Beginning of Period</w:t>
            </w:r>
          </w:p>
        </w:tc>
        <w:tc>
          <w:tcPr>
            <w:tcW w:w="2270" w:type="dxa"/>
            <w:tcBorders>
              <w:top w:val="single" w:sz="4" w:space="0" w:color="auto"/>
              <w:left w:val="nil"/>
              <w:bottom w:val="nil"/>
              <w:right w:val="nil"/>
            </w:tcBorders>
            <w:shd w:val="clear" w:color="auto" w:fill="auto"/>
            <w:vAlign w:val="bottom"/>
            <w:hideMark/>
          </w:tcPr>
          <w:p w14:paraId="6FCA4B32" w14:textId="77777777" w:rsidR="00170484" w:rsidRPr="002E0DF4" w:rsidRDefault="00170484" w:rsidP="001D17F8">
            <w:pPr>
              <w:jc w:val="center"/>
              <w:rPr>
                <w:szCs w:val="20"/>
              </w:rPr>
            </w:pPr>
            <w:r w:rsidRPr="002E0DF4">
              <w:rPr>
                <w:szCs w:val="20"/>
              </w:rPr>
              <w:t>20-year ERP based on ERS at BOP</w:t>
            </w:r>
          </w:p>
        </w:tc>
        <w:tc>
          <w:tcPr>
            <w:tcW w:w="1910" w:type="dxa"/>
            <w:tcBorders>
              <w:top w:val="single" w:sz="4" w:space="0" w:color="auto"/>
              <w:left w:val="nil"/>
              <w:bottom w:val="nil"/>
              <w:right w:val="nil"/>
            </w:tcBorders>
            <w:shd w:val="clear" w:color="auto" w:fill="auto"/>
            <w:vAlign w:val="bottom"/>
            <w:hideMark/>
          </w:tcPr>
          <w:p w14:paraId="3EB3A8E9" w14:textId="77777777" w:rsidR="00170484" w:rsidRPr="002E0DF4" w:rsidRDefault="00170484" w:rsidP="001D17F8">
            <w:pPr>
              <w:jc w:val="center"/>
              <w:rPr>
                <w:szCs w:val="20"/>
              </w:rPr>
            </w:pPr>
            <w:r w:rsidRPr="00AA1FDB">
              <w:rPr>
                <w:szCs w:val="20"/>
              </w:rPr>
              <w:t>Realized ERP</w:t>
            </w:r>
          </w:p>
        </w:tc>
      </w:tr>
      <w:tr w:rsidR="00625021" w:rsidRPr="002E0DF4" w14:paraId="54EBA24F" w14:textId="77777777" w:rsidTr="001D17F8">
        <w:trPr>
          <w:trHeight w:val="260"/>
        </w:trPr>
        <w:tc>
          <w:tcPr>
            <w:tcW w:w="1420" w:type="dxa"/>
            <w:tcBorders>
              <w:top w:val="nil"/>
              <w:left w:val="nil"/>
              <w:bottom w:val="nil"/>
              <w:right w:val="nil"/>
            </w:tcBorders>
            <w:shd w:val="clear" w:color="auto" w:fill="auto"/>
            <w:noWrap/>
            <w:vAlign w:val="bottom"/>
            <w:hideMark/>
          </w:tcPr>
          <w:p w14:paraId="49D37545" w14:textId="77777777" w:rsidR="00625021" w:rsidRPr="002E0DF4" w:rsidRDefault="00625021" w:rsidP="00625021">
            <w:pPr>
              <w:jc w:val="center"/>
              <w:rPr>
                <w:szCs w:val="20"/>
              </w:rPr>
            </w:pPr>
            <w:r w:rsidRPr="002E0DF4">
              <w:rPr>
                <w:szCs w:val="20"/>
              </w:rPr>
              <w:t>1910</w:t>
            </w:r>
          </w:p>
        </w:tc>
        <w:tc>
          <w:tcPr>
            <w:tcW w:w="2270" w:type="dxa"/>
            <w:tcBorders>
              <w:top w:val="nil"/>
              <w:left w:val="nil"/>
              <w:bottom w:val="nil"/>
              <w:right w:val="nil"/>
            </w:tcBorders>
            <w:shd w:val="clear" w:color="auto" w:fill="auto"/>
            <w:noWrap/>
            <w:vAlign w:val="bottom"/>
            <w:hideMark/>
          </w:tcPr>
          <w:p w14:paraId="5046AADD" w14:textId="6F644232" w:rsidR="00625021" w:rsidRPr="00625021" w:rsidRDefault="00625021" w:rsidP="00625021">
            <w:pPr>
              <w:jc w:val="center"/>
            </w:pPr>
            <w:r w:rsidRPr="00625021">
              <w:t>2.8%</w:t>
            </w:r>
          </w:p>
        </w:tc>
        <w:tc>
          <w:tcPr>
            <w:tcW w:w="1910" w:type="dxa"/>
            <w:tcBorders>
              <w:top w:val="nil"/>
              <w:left w:val="nil"/>
              <w:bottom w:val="nil"/>
              <w:right w:val="nil"/>
            </w:tcBorders>
            <w:shd w:val="clear" w:color="auto" w:fill="auto"/>
            <w:noWrap/>
            <w:vAlign w:val="bottom"/>
            <w:hideMark/>
          </w:tcPr>
          <w:p w14:paraId="4215AF1C" w14:textId="336ACEA4" w:rsidR="00625021" w:rsidRPr="00625021" w:rsidRDefault="00625021" w:rsidP="00625021">
            <w:pPr>
              <w:jc w:val="center"/>
            </w:pPr>
            <w:r w:rsidRPr="00625021">
              <w:t>5.3%</w:t>
            </w:r>
          </w:p>
        </w:tc>
      </w:tr>
      <w:tr w:rsidR="00625021" w:rsidRPr="002E0DF4" w14:paraId="0F333942" w14:textId="77777777" w:rsidTr="001D17F8">
        <w:trPr>
          <w:trHeight w:val="260"/>
        </w:trPr>
        <w:tc>
          <w:tcPr>
            <w:tcW w:w="1420" w:type="dxa"/>
            <w:tcBorders>
              <w:top w:val="nil"/>
              <w:left w:val="nil"/>
              <w:bottom w:val="nil"/>
              <w:right w:val="nil"/>
            </w:tcBorders>
            <w:shd w:val="clear" w:color="auto" w:fill="auto"/>
            <w:noWrap/>
            <w:vAlign w:val="bottom"/>
            <w:hideMark/>
          </w:tcPr>
          <w:p w14:paraId="6EBE8212" w14:textId="77777777" w:rsidR="00625021" w:rsidRPr="002E0DF4" w:rsidRDefault="00625021" w:rsidP="00625021">
            <w:pPr>
              <w:jc w:val="center"/>
              <w:rPr>
                <w:szCs w:val="20"/>
              </w:rPr>
            </w:pPr>
            <w:r w:rsidRPr="002E0DF4">
              <w:rPr>
                <w:szCs w:val="20"/>
              </w:rPr>
              <w:t>1930</w:t>
            </w:r>
          </w:p>
        </w:tc>
        <w:tc>
          <w:tcPr>
            <w:tcW w:w="2270" w:type="dxa"/>
            <w:tcBorders>
              <w:top w:val="nil"/>
              <w:left w:val="nil"/>
              <w:bottom w:val="nil"/>
              <w:right w:val="nil"/>
            </w:tcBorders>
            <w:shd w:val="clear" w:color="auto" w:fill="auto"/>
            <w:noWrap/>
            <w:vAlign w:val="bottom"/>
            <w:hideMark/>
          </w:tcPr>
          <w:p w14:paraId="1D90D06C" w14:textId="6D7C9814" w:rsidR="00625021" w:rsidRPr="00625021" w:rsidRDefault="00625021" w:rsidP="00625021">
            <w:pPr>
              <w:jc w:val="center"/>
            </w:pPr>
            <w:r w:rsidRPr="00625021">
              <w:t>2.6%</w:t>
            </w:r>
          </w:p>
        </w:tc>
        <w:tc>
          <w:tcPr>
            <w:tcW w:w="1910" w:type="dxa"/>
            <w:tcBorders>
              <w:top w:val="nil"/>
              <w:left w:val="nil"/>
              <w:bottom w:val="nil"/>
              <w:right w:val="nil"/>
            </w:tcBorders>
            <w:shd w:val="clear" w:color="auto" w:fill="auto"/>
            <w:noWrap/>
            <w:vAlign w:val="bottom"/>
            <w:hideMark/>
          </w:tcPr>
          <w:p w14:paraId="579877A7" w14:textId="2AD3C858" w:rsidR="00625021" w:rsidRPr="00625021" w:rsidRDefault="00625021" w:rsidP="00625021">
            <w:pPr>
              <w:jc w:val="center"/>
            </w:pPr>
            <w:r w:rsidRPr="00625021">
              <w:t>1.4%</w:t>
            </w:r>
          </w:p>
        </w:tc>
      </w:tr>
      <w:tr w:rsidR="00625021" w:rsidRPr="002E0DF4" w14:paraId="41CD0F52" w14:textId="77777777" w:rsidTr="001D17F8">
        <w:trPr>
          <w:trHeight w:val="260"/>
        </w:trPr>
        <w:tc>
          <w:tcPr>
            <w:tcW w:w="1420" w:type="dxa"/>
            <w:tcBorders>
              <w:top w:val="nil"/>
              <w:left w:val="nil"/>
              <w:bottom w:val="nil"/>
              <w:right w:val="nil"/>
            </w:tcBorders>
            <w:shd w:val="clear" w:color="auto" w:fill="auto"/>
            <w:noWrap/>
            <w:vAlign w:val="bottom"/>
            <w:hideMark/>
          </w:tcPr>
          <w:p w14:paraId="3B28488F" w14:textId="77777777" w:rsidR="00625021" w:rsidRPr="002E0DF4" w:rsidRDefault="00625021" w:rsidP="00625021">
            <w:pPr>
              <w:jc w:val="center"/>
              <w:rPr>
                <w:szCs w:val="20"/>
              </w:rPr>
            </w:pPr>
            <w:r w:rsidRPr="002E0DF4">
              <w:rPr>
                <w:szCs w:val="20"/>
              </w:rPr>
              <w:t>1950</w:t>
            </w:r>
          </w:p>
        </w:tc>
        <w:tc>
          <w:tcPr>
            <w:tcW w:w="2270" w:type="dxa"/>
            <w:tcBorders>
              <w:top w:val="nil"/>
              <w:left w:val="nil"/>
              <w:bottom w:val="nil"/>
              <w:right w:val="nil"/>
            </w:tcBorders>
            <w:shd w:val="clear" w:color="auto" w:fill="auto"/>
            <w:noWrap/>
            <w:vAlign w:val="bottom"/>
            <w:hideMark/>
          </w:tcPr>
          <w:p w14:paraId="1374568A" w14:textId="7F217AD5" w:rsidR="00625021" w:rsidRPr="00625021" w:rsidRDefault="00625021" w:rsidP="00625021">
            <w:pPr>
              <w:jc w:val="center"/>
            </w:pPr>
            <w:r w:rsidRPr="00625021">
              <w:t>7.0%</w:t>
            </w:r>
          </w:p>
        </w:tc>
        <w:tc>
          <w:tcPr>
            <w:tcW w:w="1910" w:type="dxa"/>
            <w:tcBorders>
              <w:top w:val="nil"/>
              <w:left w:val="nil"/>
              <w:bottom w:val="nil"/>
              <w:right w:val="nil"/>
            </w:tcBorders>
            <w:shd w:val="clear" w:color="auto" w:fill="auto"/>
            <w:noWrap/>
            <w:vAlign w:val="bottom"/>
            <w:hideMark/>
          </w:tcPr>
          <w:p w14:paraId="7128B5A3" w14:textId="31A34678" w:rsidR="00625021" w:rsidRPr="00625021" w:rsidRDefault="00625021" w:rsidP="00625021">
            <w:pPr>
              <w:jc w:val="center"/>
            </w:pPr>
            <w:r w:rsidRPr="00625021">
              <w:t>11.2%</w:t>
            </w:r>
          </w:p>
        </w:tc>
      </w:tr>
      <w:tr w:rsidR="00625021" w:rsidRPr="002E0DF4" w14:paraId="32ACDEBD" w14:textId="77777777" w:rsidTr="001D17F8">
        <w:trPr>
          <w:trHeight w:val="260"/>
        </w:trPr>
        <w:tc>
          <w:tcPr>
            <w:tcW w:w="1420" w:type="dxa"/>
            <w:tcBorders>
              <w:top w:val="nil"/>
              <w:left w:val="nil"/>
              <w:bottom w:val="nil"/>
              <w:right w:val="nil"/>
            </w:tcBorders>
            <w:shd w:val="clear" w:color="auto" w:fill="auto"/>
            <w:noWrap/>
            <w:vAlign w:val="bottom"/>
            <w:hideMark/>
          </w:tcPr>
          <w:p w14:paraId="72D1A636" w14:textId="77777777" w:rsidR="00625021" w:rsidRPr="002E0DF4" w:rsidRDefault="00625021" w:rsidP="00625021">
            <w:pPr>
              <w:jc w:val="center"/>
              <w:rPr>
                <w:szCs w:val="20"/>
              </w:rPr>
            </w:pPr>
            <w:r w:rsidRPr="002E0DF4">
              <w:rPr>
                <w:szCs w:val="20"/>
              </w:rPr>
              <w:t>1970</w:t>
            </w:r>
          </w:p>
        </w:tc>
        <w:tc>
          <w:tcPr>
            <w:tcW w:w="2270" w:type="dxa"/>
            <w:tcBorders>
              <w:top w:val="nil"/>
              <w:left w:val="nil"/>
              <w:bottom w:val="nil"/>
              <w:right w:val="nil"/>
            </w:tcBorders>
            <w:shd w:val="clear" w:color="auto" w:fill="auto"/>
            <w:noWrap/>
            <w:vAlign w:val="bottom"/>
            <w:hideMark/>
          </w:tcPr>
          <w:p w14:paraId="6FE25542" w14:textId="44C68267" w:rsidR="00625021" w:rsidRPr="00625021" w:rsidRDefault="00625021" w:rsidP="00625021">
            <w:pPr>
              <w:jc w:val="center"/>
            </w:pPr>
            <w:r w:rsidRPr="00625021">
              <w:t>-3.4%</w:t>
            </w:r>
          </w:p>
        </w:tc>
        <w:tc>
          <w:tcPr>
            <w:tcW w:w="1910" w:type="dxa"/>
            <w:tcBorders>
              <w:top w:val="nil"/>
              <w:left w:val="nil"/>
              <w:bottom w:val="nil"/>
              <w:right w:val="nil"/>
            </w:tcBorders>
            <w:shd w:val="clear" w:color="auto" w:fill="auto"/>
            <w:noWrap/>
            <w:vAlign w:val="bottom"/>
            <w:hideMark/>
          </w:tcPr>
          <w:p w14:paraId="58EDB7B1" w14:textId="35849011" w:rsidR="00625021" w:rsidRPr="00625021" w:rsidRDefault="00625021" w:rsidP="00625021">
            <w:pPr>
              <w:jc w:val="center"/>
            </w:pPr>
            <w:r w:rsidRPr="00625021">
              <w:t>2.4%</w:t>
            </w:r>
          </w:p>
        </w:tc>
      </w:tr>
      <w:tr w:rsidR="00625021" w:rsidRPr="002E0DF4" w14:paraId="204714CD" w14:textId="77777777" w:rsidTr="001D17F8">
        <w:trPr>
          <w:trHeight w:val="260"/>
        </w:trPr>
        <w:tc>
          <w:tcPr>
            <w:tcW w:w="1420" w:type="dxa"/>
            <w:tcBorders>
              <w:top w:val="nil"/>
              <w:left w:val="nil"/>
              <w:bottom w:val="nil"/>
              <w:right w:val="nil"/>
            </w:tcBorders>
            <w:shd w:val="clear" w:color="auto" w:fill="auto"/>
            <w:noWrap/>
            <w:vAlign w:val="bottom"/>
            <w:hideMark/>
          </w:tcPr>
          <w:p w14:paraId="2CE9BF8B" w14:textId="77777777" w:rsidR="00625021" w:rsidRPr="002E0DF4" w:rsidRDefault="00625021" w:rsidP="00625021">
            <w:pPr>
              <w:jc w:val="center"/>
              <w:rPr>
                <w:szCs w:val="20"/>
              </w:rPr>
            </w:pPr>
            <w:r w:rsidRPr="002E0DF4">
              <w:rPr>
                <w:szCs w:val="20"/>
              </w:rPr>
              <w:t>1990</w:t>
            </w:r>
          </w:p>
        </w:tc>
        <w:tc>
          <w:tcPr>
            <w:tcW w:w="2270" w:type="dxa"/>
            <w:tcBorders>
              <w:top w:val="nil"/>
              <w:left w:val="nil"/>
              <w:bottom w:val="nil"/>
              <w:right w:val="nil"/>
            </w:tcBorders>
            <w:shd w:val="clear" w:color="auto" w:fill="auto"/>
            <w:noWrap/>
            <w:vAlign w:val="bottom"/>
            <w:hideMark/>
          </w:tcPr>
          <w:p w14:paraId="1E660AE5" w14:textId="0D9B98B4" w:rsidR="00625021" w:rsidRPr="00625021" w:rsidRDefault="00625021" w:rsidP="00625021">
            <w:pPr>
              <w:jc w:val="center"/>
            </w:pPr>
            <w:r w:rsidRPr="00625021">
              <w:t>-1.4%</w:t>
            </w:r>
          </w:p>
        </w:tc>
        <w:tc>
          <w:tcPr>
            <w:tcW w:w="1910" w:type="dxa"/>
            <w:tcBorders>
              <w:top w:val="nil"/>
              <w:left w:val="nil"/>
              <w:bottom w:val="nil"/>
              <w:right w:val="nil"/>
            </w:tcBorders>
            <w:shd w:val="clear" w:color="auto" w:fill="auto"/>
            <w:noWrap/>
            <w:vAlign w:val="bottom"/>
            <w:hideMark/>
          </w:tcPr>
          <w:p w14:paraId="4BBCAD09" w14:textId="547EB36E" w:rsidR="00625021" w:rsidRPr="00625021" w:rsidRDefault="00625021" w:rsidP="00625021">
            <w:pPr>
              <w:jc w:val="center"/>
            </w:pPr>
            <w:r w:rsidRPr="00625021">
              <w:t>1.2%</w:t>
            </w:r>
          </w:p>
        </w:tc>
      </w:tr>
    </w:tbl>
    <w:p w14:paraId="61F5D0D7" w14:textId="77777777" w:rsidR="00170484" w:rsidRDefault="00170484" w:rsidP="00170484">
      <w:pPr>
        <w:rPr>
          <w:b/>
        </w:rPr>
      </w:pPr>
    </w:p>
    <w:p w14:paraId="2E59B62D" w14:textId="77777777" w:rsidR="00170484" w:rsidRPr="002E0DF4" w:rsidRDefault="00170484" w:rsidP="00170484">
      <w:pPr>
        <w:rPr>
          <w:b/>
        </w:rPr>
      </w:pPr>
      <w:r w:rsidRPr="002E0DF4">
        <w:rPr>
          <w:b/>
        </w:rPr>
        <w:t xml:space="preserve">Table </w:t>
      </w:r>
      <w:r>
        <w:rPr>
          <w:b/>
        </w:rPr>
        <w:t>8</w:t>
      </w:r>
      <w:r w:rsidRPr="002E0DF4">
        <w:rPr>
          <w:b/>
        </w:rPr>
        <w:t>b</w:t>
      </w:r>
    </w:p>
    <w:tbl>
      <w:tblPr>
        <w:tblW w:w="5600" w:type="dxa"/>
        <w:tblLook w:val="04A0" w:firstRow="1" w:lastRow="0" w:firstColumn="1" w:lastColumn="0" w:noHBand="0" w:noVBand="1"/>
      </w:tblPr>
      <w:tblGrid>
        <w:gridCol w:w="1420"/>
        <w:gridCol w:w="2270"/>
        <w:gridCol w:w="1910"/>
      </w:tblGrid>
      <w:tr w:rsidR="00170484" w:rsidRPr="002E0DF4" w14:paraId="11650C14" w14:textId="77777777" w:rsidTr="001D17F8">
        <w:trPr>
          <w:trHeight w:val="520"/>
        </w:trPr>
        <w:tc>
          <w:tcPr>
            <w:tcW w:w="1420" w:type="dxa"/>
            <w:tcBorders>
              <w:top w:val="nil"/>
              <w:left w:val="nil"/>
              <w:bottom w:val="nil"/>
              <w:right w:val="nil"/>
            </w:tcBorders>
            <w:shd w:val="clear" w:color="auto" w:fill="auto"/>
            <w:vAlign w:val="bottom"/>
          </w:tcPr>
          <w:p w14:paraId="42AEAFAB" w14:textId="77777777" w:rsidR="00170484" w:rsidRPr="00AA1FDB" w:rsidRDefault="00170484" w:rsidP="001D17F8">
            <w:pPr>
              <w:jc w:val="center"/>
              <w:rPr>
                <w:szCs w:val="20"/>
              </w:rPr>
            </w:pPr>
          </w:p>
        </w:tc>
        <w:tc>
          <w:tcPr>
            <w:tcW w:w="4180" w:type="dxa"/>
            <w:gridSpan w:val="2"/>
            <w:tcBorders>
              <w:top w:val="nil"/>
              <w:left w:val="nil"/>
              <w:bottom w:val="single" w:sz="4" w:space="0" w:color="auto"/>
              <w:right w:val="nil"/>
            </w:tcBorders>
            <w:shd w:val="clear" w:color="auto" w:fill="auto"/>
            <w:vAlign w:val="bottom"/>
          </w:tcPr>
          <w:p w14:paraId="42960C5C" w14:textId="77777777" w:rsidR="00170484" w:rsidRPr="00AA1FDB" w:rsidRDefault="00170484" w:rsidP="001D17F8">
            <w:pPr>
              <w:jc w:val="center"/>
              <w:rPr>
                <w:szCs w:val="20"/>
              </w:rPr>
            </w:pPr>
            <w:r w:rsidRPr="00AA1FDB">
              <w:rPr>
                <w:szCs w:val="20"/>
              </w:rPr>
              <w:t>Based on data through BOP</w:t>
            </w:r>
          </w:p>
        </w:tc>
      </w:tr>
      <w:tr w:rsidR="00170484" w:rsidRPr="002E0DF4" w14:paraId="35CC8592" w14:textId="77777777" w:rsidTr="001D17F8">
        <w:trPr>
          <w:trHeight w:val="520"/>
        </w:trPr>
        <w:tc>
          <w:tcPr>
            <w:tcW w:w="1420" w:type="dxa"/>
            <w:tcBorders>
              <w:top w:val="nil"/>
              <w:left w:val="nil"/>
              <w:bottom w:val="nil"/>
              <w:right w:val="nil"/>
            </w:tcBorders>
            <w:shd w:val="clear" w:color="auto" w:fill="auto"/>
            <w:vAlign w:val="bottom"/>
            <w:hideMark/>
          </w:tcPr>
          <w:p w14:paraId="6C8D08E5" w14:textId="77777777" w:rsidR="00170484" w:rsidRPr="002E0DF4" w:rsidRDefault="00170484" w:rsidP="001D17F8">
            <w:pPr>
              <w:jc w:val="center"/>
              <w:rPr>
                <w:szCs w:val="20"/>
              </w:rPr>
            </w:pPr>
            <w:r w:rsidRPr="002E0DF4">
              <w:rPr>
                <w:szCs w:val="20"/>
              </w:rPr>
              <w:t>Beginning of Period</w:t>
            </w:r>
          </w:p>
        </w:tc>
        <w:tc>
          <w:tcPr>
            <w:tcW w:w="2270" w:type="dxa"/>
            <w:tcBorders>
              <w:top w:val="single" w:sz="4" w:space="0" w:color="auto"/>
              <w:left w:val="nil"/>
              <w:bottom w:val="nil"/>
              <w:right w:val="nil"/>
            </w:tcBorders>
            <w:shd w:val="clear" w:color="auto" w:fill="auto"/>
            <w:vAlign w:val="bottom"/>
            <w:hideMark/>
          </w:tcPr>
          <w:p w14:paraId="799B2AC8" w14:textId="77777777" w:rsidR="00170484" w:rsidRPr="002E0DF4" w:rsidRDefault="00170484" w:rsidP="001D17F8">
            <w:pPr>
              <w:jc w:val="center"/>
              <w:rPr>
                <w:szCs w:val="20"/>
              </w:rPr>
            </w:pPr>
            <w:r w:rsidRPr="002E0DF4">
              <w:rPr>
                <w:szCs w:val="20"/>
              </w:rPr>
              <w:t>20-year ERP based on ERS at BOP</w:t>
            </w:r>
          </w:p>
        </w:tc>
        <w:tc>
          <w:tcPr>
            <w:tcW w:w="1910" w:type="dxa"/>
            <w:tcBorders>
              <w:top w:val="single" w:sz="4" w:space="0" w:color="auto"/>
              <w:left w:val="nil"/>
              <w:bottom w:val="nil"/>
              <w:right w:val="nil"/>
            </w:tcBorders>
            <w:shd w:val="clear" w:color="auto" w:fill="auto"/>
            <w:vAlign w:val="bottom"/>
            <w:hideMark/>
          </w:tcPr>
          <w:p w14:paraId="50C52295" w14:textId="77777777" w:rsidR="00170484" w:rsidRPr="002E0DF4" w:rsidRDefault="00170484" w:rsidP="001D17F8">
            <w:pPr>
              <w:jc w:val="center"/>
              <w:rPr>
                <w:szCs w:val="20"/>
              </w:rPr>
            </w:pPr>
            <w:r w:rsidRPr="00AA1FDB">
              <w:rPr>
                <w:szCs w:val="20"/>
              </w:rPr>
              <w:t>Realized ERP</w:t>
            </w:r>
          </w:p>
        </w:tc>
      </w:tr>
      <w:tr w:rsidR="00D45A26" w:rsidRPr="002E0DF4" w14:paraId="3DE9435D" w14:textId="77777777" w:rsidTr="001D17F8">
        <w:trPr>
          <w:trHeight w:val="260"/>
        </w:trPr>
        <w:tc>
          <w:tcPr>
            <w:tcW w:w="1420" w:type="dxa"/>
            <w:tcBorders>
              <w:top w:val="nil"/>
              <w:left w:val="nil"/>
              <w:bottom w:val="nil"/>
              <w:right w:val="nil"/>
            </w:tcBorders>
            <w:shd w:val="clear" w:color="auto" w:fill="auto"/>
            <w:noWrap/>
            <w:vAlign w:val="bottom"/>
            <w:hideMark/>
          </w:tcPr>
          <w:p w14:paraId="022D0AE8" w14:textId="77777777" w:rsidR="00D45A26" w:rsidRPr="002E0DF4" w:rsidRDefault="00D45A26" w:rsidP="00D45A26">
            <w:pPr>
              <w:jc w:val="center"/>
              <w:rPr>
                <w:szCs w:val="20"/>
              </w:rPr>
            </w:pPr>
            <w:r w:rsidRPr="002E0DF4">
              <w:rPr>
                <w:szCs w:val="20"/>
              </w:rPr>
              <w:t>1920</w:t>
            </w:r>
          </w:p>
        </w:tc>
        <w:tc>
          <w:tcPr>
            <w:tcW w:w="2270" w:type="dxa"/>
            <w:tcBorders>
              <w:top w:val="nil"/>
              <w:left w:val="nil"/>
              <w:bottom w:val="nil"/>
              <w:right w:val="nil"/>
            </w:tcBorders>
            <w:shd w:val="clear" w:color="auto" w:fill="auto"/>
            <w:noWrap/>
            <w:vAlign w:val="bottom"/>
            <w:hideMark/>
          </w:tcPr>
          <w:p w14:paraId="15082A18" w14:textId="4BF0645B" w:rsidR="00D45A26" w:rsidRPr="00D45A26" w:rsidRDefault="00D45A26" w:rsidP="00D45A26">
            <w:pPr>
              <w:jc w:val="center"/>
            </w:pPr>
            <w:r w:rsidRPr="00D45A26">
              <w:t>4.2%</w:t>
            </w:r>
          </w:p>
        </w:tc>
        <w:tc>
          <w:tcPr>
            <w:tcW w:w="1910" w:type="dxa"/>
            <w:tcBorders>
              <w:top w:val="nil"/>
              <w:left w:val="nil"/>
              <w:bottom w:val="nil"/>
              <w:right w:val="nil"/>
            </w:tcBorders>
            <w:shd w:val="clear" w:color="auto" w:fill="auto"/>
            <w:noWrap/>
            <w:vAlign w:val="bottom"/>
            <w:hideMark/>
          </w:tcPr>
          <w:p w14:paraId="75439CF4" w14:textId="161C8C80" w:rsidR="00D45A26" w:rsidRPr="00D45A26" w:rsidRDefault="00D45A26" w:rsidP="00D45A26">
            <w:pPr>
              <w:jc w:val="center"/>
            </w:pPr>
            <w:r w:rsidRPr="00D45A26">
              <w:t>2.8%</w:t>
            </w:r>
          </w:p>
        </w:tc>
      </w:tr>
      <w:tr w:rsidR="00D45A26" w:rsidRPr="002E0DF4" w14:paraId="117BB48E" w14:textId="77777777" w:rsidTr="001D17F8">
        <w:trPr>
          <w:trHeight w:val="260"/>
        </w:trPr>
        <w:tc>
          <w:tcPr>
            <w:tcW w:w="1420" w:type="dxa"/>
            <w:tcBorders>
              <w:top w:val="nil"/>
              <w:left w:val="nil"/>
              <w:bottom w:val="nil"/>
              <w:right w:val="nil"/>
            </w:tcBorders>
            <w:shd w:val="clear" w:color="auto" w:fill="auto"/>
            <w:noWrap/>
            <w:vAlign w:val="bottom"/>
            <w:hideMark/>
          </w:tcPr>
          <w:p w14:paraId="38CA110A" w14:textId="77777777" w:rsidR="00D45A26" w:rsidRPr="002E0DF4" w:rsidRDefault="00D45A26" w:rsidP="00D45A26">
            <w:pPr>
              <w:jc w:val="center"/>
              <w:rPr>
                <w:szCs w:val="20"/>
              </w:rPr>
            </w:pPr>
            <w:r w:rsidRPr="002E0DF4">
              <w:rPr>
                <w:szCs w:val="20"/>
              </w:rPr>
              <w:t>1940</w:t>
            </w:r>
          </w:p>
        </w:tc>
        <w:tc>
          <w:tcPr>
            <w:tcW w:w="2270" w:type="dxa"/>
            <w:tcBorders>
              <w:top w:val="nil"/>
              <w:left w:val="nil"/>
              <w:bottom w:val="nil"/>
              <w:right w:val="nil"/>
            </w:tcBorders>
            <w:shd w:val="clear" w:color="auto" w:fill="auto"/>
            <w:noWrap/>
            <w:vAlign w:val="bottom"/>
            <w:hideMark/>
          </w:tcPr>
          <w:p w14:paraId="3AFC86B2" w14:textId="14EA51E2" w:rsidR="00D45A26" w:rsidRPr="00D45A26" w:rsidRDefault="00D45A26" w:rsidP="00D45A26">
            <w:pPr>
              <w:jc w:val="center"/>
            </w:pPr>
            <w:r w:rsidRPr="00D45A26">
              <w:t>7.7%</w:t>
            </w:r>
          </w:p>
        </w:tc>
        <w:tc>
          <w:tcPr>
            <w:tcW w:w="1910" w:type="dxa"/>
            <w:tcBorders>
              <w:top w:val="nil"/>
              <w:left w:val="nil"/>
              <w:bottom w:val="nil"/>
              <w:right w:val="nil"/>
            </w:tcBorders>
            <w:shd w:val="clear" w:color="auto" w:fill="auto"/>
            <w:noWrap/>
            <w:vAlign w:val="bottom"/>
            <w:hideMark/>
          </w:tcPr>
          <w:p w14:paraId="04C8413F" w14:textId="3F2350E0" w:rsidR="00D45A26" w:rsidRPr="00D45A26" w:rsidRDefault="00D45A26" w:rsidP="00D45A26">
            <w:pPr>
              <w:jc w:val="center"/>
            </w:pPr>
            <w:r w:rsidRPr="00D45A26">
              <w:t>12.0%</w:t>
            </w:r>
          </w:p>
        </w:tc>
      </w:tr>
      <w:tr w:rsidR="00D45A26" w:rsidRPr="002E0DF4" w14:paraId="55D9BA86" w14:textId="77777777" w:rsidTr="001D17F8">
        <w:trPr>
          <w:trHeight w:val="260"/>
        </w:trPr>
        <w:tc>
          <w:tcPr>
            <w:tcW w:w="1420" w:type="dxa"/>
            <w:tcBorders>
              <w:top w:val="nil"/>
              <w:left w:val="nil"/>
              <w:bottom w:val="nil"/>
              <w:right w:val="nil"/>
            </w:tcBorders>
            <w:shd w:val="clear" w:color="auto" w:fill="auto"/>
            <w:noWrap/>
            <w:vAlign w:val="bottom"/>
            <w:hideMark/>
          </w:tcPr>
          <w:p w14:paraId="51CA5492" w14:textId="77777777" w:rsidR="00D45A26" w:rsidRPr="002E0DF4" w:rsidRDefault="00D45A26" w:rsidP="00D45A26">
            <w:pPr>
              <w:jc w:val="center"/>
              <w:rPr>
                <w:szCs w:val="20"/>
              </w:rPr>
            </w:pPr>
            <w:r w:rsidRPr="002E0DF4">
              <w:rPr>
                <w:szCs w:val="20"/>
              </w:rPr>
              <w:t>1960</w:t>
            </w:r>
          </w:p>
        </w:tc>
        <w:tc>
          <w:tcPr>
            <w:tcW w:w="2270" w:type="dxa"/>
            <w:tcBorders>
              <w:top w:val="nil"/>
              <w:left w:val="nil"/>
              <w:bottom w:val="nil"/>
              <w:right w:val="nil"/>
            </w:tcBorders>
            <w:shd w:val="clear" w:color="auto" w:fill="auto"/>
            <w:noWrap/>
            <w:vAlign w:val="bottom"/>
            <w:hideMark/>
          </w:tcPr>
          <w:p w14:paraId="5A1B4C97" w14:textId="3319849A" w:rsidR="00D45A26" w:rsidRPr="00D45A26" w:rsidRDefault="00D45A26" w:rsidP="00D45A26">
            <w:pPr>
              <w:jc w:val="center"/>
            </w:pPr>
            <w:r w:rsidRPr="00D45A26">
              <w:t>-0.6%</w:t>
            </w:r>
          </w:p>
        </w:tc>
        <w:tc>
          <w:tcPr>
            <w:tcW w:w="1910" w:type="dxa"/>
            <w:tcBorders>
              <w:top w:val="nil"/>
              <w:left w:val="nil"/>
              <w:bottom w:val="nil"/>
              <w:right w:val="nil"/>
            </w:tcBorders>
            <w:shd w:val="clear" w:color="auto" w:fill="auto"/>
            <w:noWrap/>
            <w:vAlign w:val="bottom"/>
            <w:hideMark/>
          </w:tcPr>
          <w:p w14:paraId="645617BE" w14:textId="3D7B3259" w:rsidR="00D45A26" w:rsidRPr="00D45A26" w:rsidRDefault="00D45A26" w:rsidP="00D45A26">
            <w:pPr>
              <w:jc w:val="center"/>
            </w:pPr>
            <w:r w:rsidRPr="00D45A26">
              <w:t>3.1%</w:t>
            </w:r>
          </w:p>
        </w:tc>
      </w:tr>
      <w:tr w:rsidR="00D45A26" w:rsidRPr="002E0DF4" w14:paraId="0E4D587D" w14:textId="77777777" w:rsidTr="001D17F8">
        <w:trPr>
          <w:trHeight w:val="260"/>
        </w:trPr>
        <w:tc>
          <w:tcPr>
            <w:tcW w:w="1420" w:type="dxa"/>
            <w:tcBorders>
              <w:top w:val="nil"/>
              <w:left w:val="nil"/>
              <w:bottom w:val="nil"/>
              <w:right w:val="nil"/>
            </w:tcBorders>
            <w:shd w:val="clear" w:color="auto" w:fill="auto"/>
            <w:noWrap/>
            <w:vAlign w:val="bottom"/>
            <w:hideMark/>
          </w:tcPr>
          <w:p w14:paraId="1CD5931A" w14:textId="77777777" w:rsidR="00D45A26" w:rsidRPr="002E0DF4" w:rsidRDefault="00D45A26" w:rsidP="00D45A26">
            <w:pPr>
              <w:jc w:val="center"/>
              <w:rPr>
                <w:szCs w:val="20"/>
              </w:rPr>
            </w:pPr>
            <w:r w:rsidRPr="002E0DF4">
              <w:rPr>
                <w:szCs w:val="20"/>
              </w:rPr>
              <w:t>1980</w:t>
            </w:r>
          </w:p>
        </w:tc>
        <w:tc>
          <w:tcPr>
            <w:tcW w:w="2270" w:type="dxa"/>
            <w:tcBorders>
              <w:top w:val="nil"/>
              <w:left w:val="nil"/>
              <w:bottom w:val="nil"/>
              <w:right w:val="nil"/>
            </w:tcBorders>
            <w:shd w:val="clear" w:color="auto" w:fill="auto"/>
            <w:noWrap/>
            <w:vAlign w:val="bottom"/>
            <w:hideMark/>
          </w:tcPr>
          <w:p w14:paraId="48791FEA" w14:textId="5D8C24F7" w:rsidR="00D45A26" w:rsidRPr="00D45A26" w:rsidRDefault="00D45A26" w:rsidP="00D45A26">
            <w:pPr>
              <w:jc w:val="center"/>
            </w:pPr>
            <w:r w:rsidRPr="00D45A26">
              <w:t>-1.1%</w:t>
            </w:r>
          </w:p>
        </w:tc>
        <w:tc>
          <w:tcPr>
            <w:tcW w:w="1910" w:type="dxa"/>
            <w:tcBorders>
              <w:top w:val="nil"/>
              <w:left w:val="nil"/>
              <w:bottom w:val="nil"/>
              <w:right w:val="nil"/>
            </w:tcBorders>
            <w:shd w:val="clear" w:color="auto" w:fill="auto"/>
            <w:noWrap/>
            <w:vAlign w:val="bottom"/>
            <w:hideMark/>
          </w:tcPr>
          <w:p w14:paraId="69CA3B2F" w14:textId="2CD1CFDD" w:rsidR="00D45A26" w:rsidRPr="00D45A26" w:rsidRDefault="00D45A26" w:rsidP="00D45A26">
            <w:pPr>
              <w:jc w:val="center"/>
            </w:pPr>
            <w:r w:rsidRPr="00D45A26">
              <w:t>6.8%</w:t>
            </w:r>
          </w:p>
        </w:tc>
      </w:tr>
      <w:tr w:rsidR="00D45A26" w:rsidRPr="002E0DF4" w14:paraId="60CC483E" w14:textId="77777777" w:rsidTr="001D17F8">
        <w:trPr>
          <w:trHeight w:val="260"/>
        </w:trPr>
        <w:tc>
          <w:tcPr>
            <w:tcW w:w="1420" w:type="dxa"/>
            <w:tcBorders>
              <w:top w:val="nil"/>
              <w:left w:val="nil"/>
              <w:bottom w:val="nil"/>
              <w:right w:val="nil"/>
            </w:tcBorders>
            <w:shd w:val="clear" w:color="auto" w:fill="auto"/>
            <w:noWrap/>
            <w:vAlign w:val="bottom"/>
            <w:hideMark/>
          </w:tcPr>
          <w:p w14:paraId="484861CA" w14:textId="77777777" w:rsidR="00D45A26" w:rsidRPr="002E0DF4" w:rsidRDefault="00D45A26" w:rsidP="00D45A26">
            <w:pPr>
              <w:jc w:val="center"/>
              <w:rPr>
                <w:szCs w:val="20"/>
              </w:rPr>
            </w:pPr>
            <w:r w:rsidRPr="002E0DF4">
              <w:rPr>
                <w:szCs w:val="20"/>
              </w:rPr>
              <w:t>2000</w:t>
            </w:r>
          </w:p>
        </w:tc>
        <w:tc>
          <w:tcPr>
            <w:tcW w:w="2270" w:type="dxa"/>
            <w:tcBorders>
              <w:top w:val="nil"/>
              <w:left w:val="nil"/>
              <w:bottom w:val="nil"/>
              <w:right w:val="nil"/>
            </w:tcBorders>
            <w:shd w:val="clear" w:color="auto" w:fill="auto"/>
            <w:noWrap/>
            <w:vAlign w:val="bottom"/>
            <w:hideMark/>
          </w:tcPr>
          <w:p w14:paraId="1BDC6CEF" w14:textId="50C7EE79" w:rsidR="00D45A26" w:rsidRPr="00D45A26" w:rsidRDefault="00D45A26" w:rsidP="00D45A26">
            <w:pPr>
              <w:jc w:val="center"/>
            </w:pPr>
            <w:r w:rsidRPr="00D45A26">
              <w:t>-6.7%</w:t>
            </w:r>
          </w:p>
        </w:tc>
        <w:tc>
          <w:tcPr>
            <w:tcW w:w="1910" w:type="dxa"/>
            <w:tcBorders>
              <w:top w:val="nil"/>
              <w:left w:val="nil"/>
              <w:bottom w:val="nil"/>
              <w:right w:val="nil"/>
            </w:tcBorders>
            <w:shd w:val="clear" w:color="auto" w:fill="auto"/>
            <w:noWrap/>
            <w:vAlign w:val="bottom"/>
            <w:hideMark/>
          </w:tcPr>
          <w:p w14:paraId="724BCB89" w14:textId="2C35848E" w:rsidR="00D45A26" w:rsidRPr="00D45A26" w:rsidRDefault="00D45A26" w:rsidP="00D45A26">
            <w:pPr>
              <w:jc w:val="center"/>
            </w:pPr>
            <w:r w:rsidRPr="00D45A26">
              <w:t>0.9%</w:t>
            </w:r>
          </w:p>
        </w:tc>
      </w:tr>
    </w:tbl>
    <w:p w14:paraId="17FC6DEF" w14:textId="77777777" w:rsidR="00170484" w:rsidRDefault="00170484" w:rsidP="00170484">
      <w:pPr>
        <w:rPr>
          <w:b/>
        </w:rPr>
      </w:pPr>
      <w:r>
        <w:rPr>
          <w:b/>
          <w:noProof/>
        </w:rPr>
        <mc:AlternateContent>
          <mc:Choice Requires="wps">
            <w:drawing>
              <wp:anchor distT="0" distB="0" distL="114300" distR="114300" simplePos="0" relativeHeight="251663360" behindDoc="0" locked="0" layoutInCell="1" allowOverlap="1" wp14:anchorId="34E979E9" wp14:editId="7BF6BC41">
                <wp:simplePos x="0" y="0"/>
                <wp:positionH relativeFrom="column">
                  <wp:posOffset>57150</wp:posOffset>
                </wp:positionH>
                <wp:positionV relativeFrom="paragraph">
                  <wp:posOffset>16056</wp:posOffset>
                </wp:positionV>
                <wp:extent cx="4269921" cy="277586"/>
                <wp:effectExtent l="0" t="0" r="10160" b="14605"/>
                <wp:wrapNone/>
                <wp:docPr id="5" name="Text Box 5"/>
                <wp:cNvGraphicFramePr/>
                <a:graphic xmlns:a="http://schemas.openxmlformats.org/drawingml/2006/main">
                  <a:graphicData uri="http://schemas.microsoft.com/office/word/2010/wordprocessingShape">
                    <wps:wsp>
                      <wps:cNvSpPr txBox="1"/>
                      <wps:spPr>
                        <a:xfrm>
                          <a:off x="0" y="0"/>
                          <a:ext cx="4269921" cy="277586"/>
                        </a:xfrm>
                        <a:prstGeom prst="rect">
                          <a:avLst/>
                        </a:prstGeom>
                        <a:solidFill>
                          <a:schemeClr val="lt1"/>
                        </a:solidFill>
                        <a:ln w="6350">
                          <a:solidFill>
                            <a:prstClr val="black"/>
                          </a:solidFill>
                        </a:ln>
                      </wps:spPr>
                      <wps:txbx>
                        <w:txbxContent>
                          <w:p w14:paraId="27647DC8" w14:textId="762E0270" w:rsidR="00104DD0" w:rsidRPr="002E0DF4" w:rsidRDefault="00104DD0" w:rsidP="00170484">
                            <w:pPr>
                              <w:rPr>
                                <w:sz w:val="18"/>
                                <w:szCs w:val="18"/>
                              </w:rPr>
                            </w:pPr>
                            <w:r w:rsidRPr="002E0DF4">
                              <w:rPr>
                                <w:sz w:val="18"/>
                                <w:szCs w:val="18"/>
                              </w:rPr>
                              <w:t xml:space="preserve">Note: Realized ERP for the period beginning in 2000 is for the period 01/2000 – </w:t>
                            </w:r>
                            <w:r w:rsidR="00D45A26">
                              <w:rPr>
                                <w:sz w:val="18"/>
                                <w:szCs w:val="18"/>
                              </w:rPr>
                              <w:t>10</w:t>
                            </w:r>
                            <w:r w:rsidRPr="002E0DF4">
                              <w:rPr>
                                <w:sz w:val="18"/>
                                <w:szCs w:val="18"/>
                              </w:rPr>
                              <w:t xml:space="preserve">/2018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979E9" id="Text Box 5" o:spid="_x0000_s1033" type="#_x0000_t202" style="position:absolute;margin-left:4.5pt;margin-top:1.25pt;width:336.2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" fillcolor="white [3201]" strokeweight=".5pt">
                <v:textbox>
                  <w:txbxContent>
                    <w:p w14:paraId="27647DC8" w14:textId="762E0270" w:rsidR="00104DD0" w:rsidRPr="002E0DF4" w:rsidRDefault="00104DD0" w:rsidP="00170484">
                      <w:pPr>
                        <w:rPr>
                          <w:sz w:val="18"/>
                          <w:szCs w:val="18"/>
                        </w:rPr>
                      </w:pPr>
                      <w:r w:rsidRPr="002E0DF4">
                        <w:rPr>
                          <w:sz w:val="18"/>
                          <w:szCs w:val="18"/>
                        </w:rPr>
                        <w:t xml:space="preserve">Note: Realized ERP for the period beginning in 2000 is for the period 01/2000 – </w:t>
                      </w:r>
                      <w:r w:rsidR="00D45A26">
                        <w:rPr>
                          <w:sz w:val="18"/>
                          <w:szCs w:val="18"/>
                        </w:rPr>
                        <w:t>10</w:t>
                      </w:r>
                      <w:r w:rsidRPr="002E0DF4">
                        <w:rPr>
                          <w:sz w:val="18"/>
                          <w:szCs w:val="18"/>
                        </w:rPr>
                        <w:t xml:space="preserve">/2018 </w:t>
                      </w:r>
                    </w:p>
                  </w:txbxContent>
                </v:textbox>
              </v:shape>
            </w:pict>
          </mc:Fallback>
        </mc:AlternateContent>
      </w:r>
    </w:p>
    <w:p w14:paraId="4A122385" w14:textId="77777777" w:rsidR="00170484" w:rsidRDefault="00170484" w:rsidP="00170484">
      <w:pPr>
        <w:rPr>
          <w:b/>
        </w:rPr>
      </w:pPr>
    </w:p>
    <w:p w14:paraId="05371684" w14:textId="77777777" w:rsidR="00815A39" w:rsidRDefault="00815A39" w:rsidP="00CA6307">
      <w:pPr>
        <w:rPr>
          <w:b/>
        </w:rPr>
      </w:pPr>
    </w:p>
    <w:p w14:paraId="5DFEA81A" w14:textId="4DC121B6" w:rsidR="007D4267" w:rsidRPr="00B872AC" w:rsidRDefault="00B872AC" w:rsidP="00CA6307">
      <w:pPr>
        <w:rPr>
          <w:b/>
        </w:rPr>
      </w:pPr>
      <w:r w:rsidRPr="00B872AC">
        <w:rPr>
          <w:b/>
        </w:rPr>
        <w:t xml:space="preserve">Table </w:t>
      </w:r>
      <w:r w:rsidR="002E0DF4">
        <w:rPr>
          <w:b/>
        </w:rPr>
        <w:t>9</w:t>
      </w:r>
    </w:p>
    <w:tbl>
      <w:tblPr>
        <w:tblW w:w="8640" w:type="dxa"/>
        <w:tblLook w:val="04A0" w:firstRow="1" w:lastRow="0" w:firstColumn="1" w:lastColumn="0" w:noHBand="0" w:noVBand="1"/>
      </w:tblPr>
      <w:tblGrid>
        <w:gridCol w:w="1980"/>
        <w:gridCol w:w="2880"/>
        <w:gridCol w:w="3780"/>
      </w:tblGrid>
      <w:tr w:rsidR="00B872AC" w:rsidRPr="00B31A73" w14:paraId="28314234" w14:textId="77777777" w:rsidTr="00222567">
        <w:trPr>
          <w:trHeight w:val="260"/>
        </w:trPr>
        <w:tc>
          <w:tcPr>
            <w:tcW w:w="1980" w:type="dxa"/>
            <w:tcBorders>
              <w:top w:val="nil"/>
              <w:left w:val="nil"/>
              <w:bottom w:val="nil"/>
              <w:right w:val="nil"/>
            </w:tcBorders>
            <w:shd w:val="clear" w:color="auto" w:fill="auto"/>
            <w:noWrap/>
            <w:vAlign w:val="bottom"/>
            <w:hideMark/>
          </w:tcPr>
          <w:p w14:paraId="46669DA2" w14:textId="77777777" w:rsidR="00B872AC" w:rsidRPr="00B31A73" w:rsidRDefault="00B872AC" w:rsidP="00222567">
            <w:pPr>
              <w:jc w:val="right"/>
            </w:pPr>
          </w:p>
        </w:tc>
        <w:tc>
          <w:tcPr>
            <w:tcW w:w="6660" w:type="dxa"/>
            <w:gridSpan w:val="2"/>
            <w:tcBorders>
              <w:top w:val="nil"/>
              <w:left w:val="nil"/>
              <w:bottom w:val="single" w:sz="4" w:space="0" w:color="auto"/>
              <w:right w:val="nil"/>
            </w:tcBorders>
            <w:shd w:val="clear" w:color="auto" w:fill="auto"/>
            <w:noWrap/>
            <w:vAlign w:val="bottom"/>
            <w:hideMark/>
          </w:tcPr>
          <w:p w14:paraId="69BA3933" w14:textId="77777777" w:rsidR="00B872AC" w:rsidRPr="00B31A73" w:rsidRDefault="00B872AC" w:rsidP="00222567">
            <w:pPr>
              <w:jc w:val="center"/>
            </w:pPr>
            <w:r w:rsidRPr="00B31A73">
              <w:t>Correlation</w:t>
            </w:r>
          </w:p>
        </w:tc>
      </w:tr>
      <w:tr w:rsidR="00B872AC" w:rsidRPr="00B31A73" w14:paraId="4750A380" w14:textId="77777777" w:rsidTr="00222567">
        <w:trPr>
          <w:trHeight w:val="520"/>
        </w:trPr>
        <w:tc>
          <w:tcPr>
            <w:tcW w:w="1980" w:type="dxa"/>
            <w:tcBorders>
              <w:top w:val="nil"/>
              <w:left w:val="nil"/>
              <w:bottom w:val="nil"/>
              <w:right w:val="nil"/>
            </w:tcBorders>
            <w:shd w:val="clear" w:color="auto" w:fill="auto"/>
            <w:noWrap/>
            <w:vAlign w:val="bottom"/>
            <w:hideMark/>
          </w:tcPr>
          <w:p w14:paraId="04C59538" w14:textId="77777777" w:rsidR="00B872AC" w:rsidRPr="00B31A73" w:rsidRDefault="00B872AC" w:rsidP="00222567">
            <w:pPr>
              <w:jc w:val="center"/>
            </w:pPr>
            <w:r w:rsidRPr="00B31A73">
              <w:t>Data period</w:t>
            </w:r>
          </w:p>
        </w:tc>
        <w:tc>
          <w:tcPr>
            <w:tcW w:w="2880" w:type="dxa"/>
            <w:tcBorders>
              <w:top w:val="nil"/>
              <w:left w:val="nil"/>
              <w:bottom w:val="nil"/>
              <w:right w:val="nil"/>
            </w:tcBorders>
            <w:shd w:val="clear" w:color="auto" w:fill="auto"/>
            <w:vAlign w:val="bottom"/>
            <w:hideMark/>
          </w:tcPr>
          <w:p w14:paraId="2AFA2E08" w14:textId="77777777" w:rsidR="00B872AC" w:rsidRPr="00B31A73" w:rsidRDefault="00B872AC" w:rsidP="00222567">
            <w:pPr>
              <w:jc w:val="center"/>
            </w:pPr>
            <w:r w:rsidRPr="00B31A73">
              <w:t>FIRS (Baa) and ERS</w:t>
            </w:r>
          </w:p>
        </w:tc>
        <w:tc>
          <w:tcPr>
            <w:tcW w:w="3780" w:type="dxa"/>
            <w:tcBorders>
              <w:top w:val="nil"/>
              <w:left w:val="nil"/>
              <w:bottom w:val="nil"/>
              <w:right w:val="nil"/>
            </w:tcBorders>
            <w:shd w:val="clear" w:color="auto" w:fill="auto"/>
            <w:vAlign w:val="bottom"/>
            <w:hideMark/>
          </w:tcPr>
          <w:p w14:paraId="5AC4B495" w14:textId="77777777" w:rsidR="00B872AC" w:rsidRPr="00B31A73" w:rsidRDefault="00B872AC" w:rsidP="00222567">
            <w:pPr>
              <w:jc w:val="center"/>
            </w:pPr>
            <w:r w:rsidRPr="00B31A73">
              <w:t>Annual Change in FIRS (Baa) and Annual Change in ERS</w:t>
            </w:r>
          </w:p>
        </w:tc>
      </w:tr>
      <w:tr w:rsidR="005A66F6" w:rsidRPr="00B31A73" w14:paraId="4DDDFE62" w14:textId="77777777" w:rsidTr="00222567">
        <w:trPr>
          <w:trHeight w:val="259"/>
        </w:trPr>
        <w:tc>
          <w:tcPr>
            <w:tcW w:w="1980" w:type="dxa"/>
            <w:tcBorders>
              <w:top w:val="nil"/>
              <w:left w:val="nil"/>
              <w:bottom w:val="nil"/>
              <w:right w:val="nil"/>
            </w:tcBorders>
            <w:shd w:val="clear" w:color="auto" w:fill="auto"/>
            <w:noWrap/>
            <w:vAlign w:val="bottom"/>
            <w:hideMark/>
          </w:tcPr>
          <w:p w14:paraId="7B9D4A80" w14:textId="769E97A3" w:rsidR="005A66F6" w:rsidRPr="00B31A73" w:rsidRDefault="005A66F6" w:rsidP="005A66F6">
            <w:pPr>
              <w:jc w:val="center"/>
            </w:pPr>
            <w:r w:rsidRPr="00B31A73">
              <w:t xml:space="preserve">1919 </w:t>
            </w:r>
            <w:r>
              <w:t>–</w:t>
            </w:r>
            <w:r w:rsidRPr="00B31A73">
              <w:t xml:space="preserve"> 2018</w:t>
            </w:r>
          </w:p>
        </w:tc>
        <w:tc>
          <w:tcPr>
            <w:tcW w:w="2880" w:type="dxa"/>
            <w:tcBorders>
              <w:top w:val="nil"/>
              <w:left w:val="nil"/>
              <w:bottom w:val="nil"/>
              <w:right w:val="nil"/>
            </w:tcBorders>
            <w:shd w:val="clear" w:color="auto" w:fill="auto"/>
            <w:noWrap/>
            <w:vAlign w:val="bottom"/>
            <w:hideMark/>
          </w:tcPr>
          <w:p w14:paraId="5C400B02" w14:textId="15417285" w:rsidR="005A66F6" w:rsidRPr="005A66F6" w:rsidRDefault="005A66F6" w:rsidP="005A66F6">
            <w:pPr>
              <w:jc w:val="center"/>
            </w:pPr>
            <w:r w:rsidRPr="005A66F6">
              <w:t>73.0%</w:t>
            </w:r>
          </w:p>
        </w:tc>
        <w:tc>
          <w:tcPr>
            <w:tcW w:w="3780" w:type="dxa"/>
            <w:tcBorders>
              <w:top w:val="nil"/>
              <w:left w:val="nil"/>
              <w:bottom w:val="nil"/>
              <w:right w:val="nil"/>
            </w:tcBorders>
            <w:shd w:val="clear" w:color="auto" w:fill="auto"/>
            <w:noWrap/>
            <w:vAlign w:val="bottom"/>
            <w:hideMark/>
          </w:tcPr>
          <w:p w14:paraId="1FF324F8" w14:textId="5E21D4C9" w:rsidR="005A66F6" w:rsidRPr="005A66F6" w:rsidRDefault="005A66F6" w:rsidP="005A66F6">
            <w:pPr>
              <w:jc w:val="center"/>
            </w:pPr>
            <w:r w:rsidRPr="005A66F6">
              <w:t>90.4%</w:t>
            </w:r>
          </w:p>
        </w:tc>
      </w:tr>
      <w:tr w:rsidR="005A66F6" w:rsidRPr="00B31A73" w14:paraId="176820FF" w14:textId="77777777" w:rsidTr="00222567">
        <w:trPr>
          <w:trHeight w:val="260"/>
        </w:trPr>
        <w:tc>
          <w:tcPr>
            <w:tcW w:w="1980" w:type="dxa"/>
            <w:tcBorders>
              <w:top w:val="nil"/>
              <w:left w:val="nil"/>
              <w:bottom w:val="nil"/>
              <w:right w:val="nil"/>
            </w:tcBorders>
            <w:shd w:val="clear" w:color="auto" w:fill="auto"/>
            <w:noWrap/>
            <w:vAlign w:val="bottom"/>
            <w:hideMark/>
          </w:tcPr>
          <w:p w14:paraId="5874C998" w14:textId="66112C22" w:rsidR="005A66F6" w:rsidRPr="00B31A73" w:rsidRDefault="005A66F6" w:rsidP="005A66F6">
            <w:pPr>
              <w:jc w:val="center"/>
            </w:pPr>
            <w:r w:rsidRPr="00B31A73">
              <w:t xml:space="preserve">1953 </w:t>
            </w:r>
            <w:r>
              <w:t>–</w:t>
            </w:r>
            <w:r w:rsidRPr="00B31A73">
              <w:t xml:space="preserve"> 2018</w:t>
            </w:r>
          </w:p>
        </w:tc>
        <w:tc>
          <w:tcPr>
            <w:tcW w:w="2880" w:type="dxa"/>
            <w:tcBorders>
              <w:top w:val="nil"/>
              <w:left w:val="nil"/>
              <w:bottom w:val="nil"/>
              <w:right w:val="nil"/>
            </w:tcBorders>
            <w:shd w:val="clear" w:color="auto" w:fill="auto"/>
            <w:noWrap/>
            <w:vAlign w:val="bottom"/>
            <w:hideMark/>
          </w:tcPr>
          <w:p w14:paraId="1366BDD0" w14:textId="6C6A8A87" w:rsidR="005A66F6" w:rsidRPr="005A66F6" w:rsidRDefault="005A66F6" w:rsidP="005A66F6">
            <w:pPr>
              <w:jc w:val="center"/>
            </w:pPr>
            <w:r w:rsidRPr="005A66F6">
              <w:t>70.9%</w:t>
            </w:r>
          </w:p>
        </w:tc>
        <w:tc>
          <w:tcPr>
            <w:tcW w:w="3780" w:type="dxa"/>
            <w:tcBorders>
              <w:top w:val="nil"/>
              <w:left w:val="nil"/>
              <w:bottom w:val="nil"/>
              <w:right w:val="nil"/>
            </w:tcBorders>
            <w:shd w:val="clear" w:color="auto" w:fill="auto"/>
            <w:noWrap/>
            <w:vAlign w:val="bottom"/>
            <w:hideMark/>
          </w:tcPr>
          <w:p w14:paraId="678C961F" w14:textId="1DF25F92" w:rsidR="005A66F6" w:rsidRPr="005A66F6" w:rsidRDefault="005A66F6" w:rsidP="005A66F6">
            <w:pPr>
              <w:jc w:val="center"/>
            </w:pPr>
            <w:r w:rsidRPr="005A66F6">
              <w:t>93.1%</w:t>
            </w:r>
          </w:p>
        </w:tc>
      </w:tr>
      <w:tr w:rsidR="005A66F6" w:rsidRPr="00B31A73" w14:paraId="1A4260AD" w14:textId="77777777" w:rsidTr="00222567">
        <w:trPr>
          <w:trHeight w:val="240"/>
        </w:trPr>
        <w:tc>
          <w:tcPr>
            <w:tcW w:w="1980" w:type="dxa"/>
            <w:tcBorders>
              <w:top w:val="nil"/>
              <w:left w:val="nil"/>
              <w:bottom w:val="nil"/>
              <w:right w:val="nil"/>
            </w:tcBorders>
            <w:shd w:val="clear" w:color="auto" w:fill="auto"/>
            <w:noWrap/>
            <w:vAlign w:val="bottom"/>
            <w:hideMark/>
          </w:tcPr>
          <w:p w14:paraId="10C6822C" w14:textId="409932AB" w:rsidR="005A66F6" w:rsidRPr="00B31A73" w:rsidRDefault="005A66F6" w:rsidP="005A66F6">
            <w:pPr>
              <w:jc w:val="center"/>
            </w:pPr>
            <w:r w:rsidRPr="00B31A73">
              <w:t xml:space="preserve">1969 </w:t>
            </w:r>
            <w:r>
              <w:t>–</w:t>
            </w:r>
            <w:r w:rsidRPr="00B31A73">
              <w:t xml:space="preserve"> 2018</w:t>
            </w:r>
          </w:p>
        </w:tc>
        <w:tc>
          <w:tcPr>
            <w:tcW w:w="2880" w:type="dxa"/>
            <w:tcBorders>
              <w:top w:val="nil"/>
              <w:left w:val="nil"/>
              <w:bottom w:val="nil"/>
              <w:right w:val="nil"/>
            </w:tcBorders>
            <w:shd w:val="clear" w:color="auto" w:fill="auto"/>
            <w:noWrap/>
            <w:vAlign w:val="bottom"/>
            <w:hideMark/>
          </w:tcPr>
          <w:p w14:paraId="2A7C99EB" w14:textId="6F8D784D" w:rsidR="005A66F6" w:rsidRPr="005A66F6" w:rsidRDefault="005A66F6" w:rsidP="005A66F6">
            <w:pPr>
              <w:jc w:val="center"/>
            </w:pPr>
            <w:r w:rsidRPr="005A66F6">
              <w:t>80.1%</w:t>
            </w:r>
          </w:p>
        </w:tc>
        <w:tc>
          <w:tcPr>
            <w:tcW w:w="3780" w:type="dxa"/>
            <w:tcBorders>
              <w:top w:val="nil"/>
              <w:left w:val="nil"/>
              <w:bottom w:val="nil"/>
              <w:right w:val="nil"/>
            </w:tcBorders>
            <w:shd w:val="clear" w:color="auto" w:fill="auto"/>
            <w:noWrap/>
            <w:vAlign w:val="bottom"/>
            <w:hideMark/>
          </w:tcPr>
          <w:p w14:paraId="09298E3D" w14:textId="24114D88" w:rsidR="005A66F6" w:rsidRPr="005A66F6" w:rsidRDefault="005A66F6" w:rsidP="005A66F6">
            <w:pPr>
              <w:jc w:val="center"/>
            </w:pPr>
            <w:r w:rsidRPr="005A66F6">
              <w:t>93.0%</w:t>
            </w:r>
          </w:p>
        </w:tc>
      </w:tr>
      <w:tr w:rsidR="005A66F6" w:rsidRPr="00B31A73" w14:paraId="1DDADB03" w14:textId="77777777" w:rsidTr="00222567">
        <w:trPr>
          <w:trHeight w:val="260"/>
        </w:trPr>
        <w:tc>
          <w:tcPr>
            <w:tcW w:w="1980" w:type="dxa"/>
            <w:tcBorders>
              <w:top w:val="nil"/>
              <w:left w:val="nil"/>
              <w:bottom w:val="nil"/>
              <w:right w:val="nil"/>
            </w:tcBorders>
            <w:shd w:val="clear" w:color="auto" w:fill="auto"/>
            <w:noWrap/>
            <w:vAlign w:val="bottom"/>
            <w:hideMark/>
          </w:tcPr>
          <w:p w14:paraId="7F838E42" w14:textId="505C2EA1" w:rsidR="005A66F6" w:rsidRPr="00B31A73" w:rsidRDefault="005A66F6" w:rsidP="005A66F6">
            <w:pPr>
              <w:jc w:val="center"/>
            </w:pPr>
            <w:r w:rsidRPr="00B31A73">
              <w:t xml:space="preserve">1989 </w:t>
            </w:r>
            <w:r>
              <w:t>–</w:t>
            </w:r>
            <w:r w:rsidRPr="00B31A73">
              <w:t xml:space="preserve"> 2018</w:t>
            </w:r>
          </w:p>
        </w:tc>
        <w:tc>
          <w:tcPr>
            <w:tcW w:w="2880" w:type="dxa"/>
            <w:tcBorders>
              <w:top w:val="nil"/>
              <w:left w:val="nil"/>
              <w:bottom w:val="nil"/>
              <w:right w:val="nil"/>
            </w:tcBorders>
            <w:shd w:val="clear" w:color="auto" w:fill="auto"/>
            <w:noWrap/>
            <w:vAlign w:val="bottom"/>
            <w:hideMark/>
          </w:tcPr>
          <w:p w14:paraId="74F569C4" w14:textId="6D11A0CF" w:rsidR="005A66F6" w:rsidRPr="005A66F6" w:rsidRDefault="005A66F6" w:rsidP="005A66F6">
            <w:pPr>
              <w:jc w:val="center"/>
            </w:pPr>
            <w:r w:rsidRPr="005A66F6">
              <w:t>90.7%</w:t>
            </w:r>
          </w:p>
        </w:tc>
        <w:tc>
          <w:tcPr>
            <w:tcW w:w="3780" w:type="dxa"/>
            <w:tcBorders>
              <w:top w:val="nil"/>
              <w:left w:val="nil"/>
              <w:bottom w:val="nil"/>
              <w:right w:val="nil"/>
            </w:tcBorders>
            <w:shd w:val="clear" w:color="auto" w:fill="auto"/>
            <w:noWrap/>
            <w:vAlign w:val="bottom"/>
            <w:hideMark/>
          </w:tcPr>
          <w:p w14:paraId="05E784B6" w14:textId="07A0DFD3" w:rsidR="005A66F6" w:rsidRPr="005A66F6" w:rsidRDefault="005A66F6" w:rsidP="005A66F6">
            <w:pPr>
              <w:jc w:val="center"/>
            </w:pPr>
            <w:r w:rsidRPr="005A66F6">
              <w:t>93.9%</w:t>
            </w:r>
          </w:p>
        </w:tc>
      </w:tr>
    </w:tbl>
    <w:p w14:paraId="491F0744" w14:textId="6FC7AF28" w:rsidR="00F7696E" w:rsidRDefault="00F7696E" w:rsidP="00CA6307">
      <w:pPr>
        <w:rPr>
          <w:b/>
        </w:rPr>
      </w:pPr>
    </w:p>
    <w:p w14:paraId="5A978C30" w14:textId="77777777" w:rsidR="00F7696E" w:rsidRDefault="00F7696E">
      <w:pPr>
        <w:rPr>
          <w:b/>
        </w:rPr>
      </w:pPr>
      <w:r>
        <w:rPr>
          <w:b/>
        </w:rPr>
        <w:br w:type="page"/>
      </w:r>
    </w:p>
    <w:p w14:paraId="42C3E226" w14:textId="77777777" w:rsidR="00B872AC" w:rsidRDefault="00B872AC" w:rsidP="00CA6307">
      <w:pPr>
        <w:rPr>
          <w:b/>
        </w:rPr>
      </w:pPr>
    </w:p>
    <w:p w14:paraId="3B6C0E5E" w14:textId="7652BB41" w:rsidR="00F13856" w:rsidRPr="00F13856" w:rsidRDefault="00F13856" w:rsidP="00CA6307">
      <w:pPr>
        <w:rPr>
          <w:b/>
        </w:rPr>
      </w:pPr>
      <w:r w:rsidRPr="00F13856">
        <w:rPr>
          <w:b/>
        </w:rPr>
        <w:t>Figure 1</w:t>
      </w:r>
    </w:p>
    <w:p w14:paraId="75C40F73" w14:textId="282D3539" w:rsidR="00F13856" w:rsidRDefault="00F13856" w:rsidP="00CA6307">
      <w:pPr>
        <w:rPr>
          <w:b/>
        </w:rPr>
      </w:pPr>
      <w:r w:rsidRPr="00B31A73">
        <w:rPr>
          <w:noProof/>
        </w:rPr>
        <w:drawing>
          <wp:inline distT="0" distB="0" distL="0" distR="0" wp14:anchorId="695F8C98" wp14:editId="2E03E567">
            <wp:extent cx="5943600" cy="3200400"/>
            <wp:effectExtent l="0" t="0" r="12700" b="12700"/>
            <wp:docPr id="14" name="Chart 14">
              <a:extLst xmlns:a="http://schemas.openxmlformats.org/drawingml/2006/main">
                <a:ext uri="{FF2B5EF4-FFF2-40B4-BE49-F238E27FC236}">
                  <a16:creationId xmlns:a16="http://schemas.microsoft.com/office/drawing/2014/main" id="{788735FC-A6BB-D248-BCAD-3EC2326E3E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1C541A" w14:textId="77777777" w:rsidR="00815A39" w:rsidRDefault="00815A39" w:rsidP="00CA6307">
      <w:pPr>
        <w:rPr>
          <w:b/>
        </w:rPr>
      </w:pPr>
    </w:p>
    <w:p w14:paraId="56970016" w14:textId="7B75C53B" w:rsidR="00F13856" w:rsidRPr="00CC69E7" w:rsidRDefault="00CC69E7" w:rsidP="00CA6307">
      <w:pPr>
        <w:rPr>
          <w:b/>
        </w:rPr>
      </w:pPr>
      <w:r w:rsidRPr="00CC69E7">
        <w:rPr>
          <w:b/>
        </w:rPr>
        <w:t>Figure 2</w:t>
      </w:r>
    </w:p>
    <w:p w14:paraId="02EFCA7A" w14:textId="091F8CE9" w:rsidR="00CC69E7" w:rsidRDefault="00BC5411" w:rsidP="00CA6307">
      <w:pPr>
        <w:rPr>
          <w:b/>
        </w:rPr>
      </w:pPr>
      <w:r>
        <w:rPr>
          <w:noProof/>
        </w:rPr>
        <w:drawing>
          <wp:inline distT="0" distB="0" distL="0" distR="0" wp14:anchorId="1A6D83DD" wp14:editId="1B4D36F7">
            <wp:extent cx="5943600" cy="2906486"/>
            <wp:effectExtent l="0" t="0" r="12700" b="14605"/>
            <wp:docPr id="1" name="Chart 1">
              <a:extLst xmlns:a="http://schemas.openxmlformats.org/drawingml/2006/main">
                <a:ext uri="{FF2B5EF4-FFF2-40B4-BE49-F238E27FC236}">
                  <a16:creationId xmlns:a16="http://schemas.microsoft.com/office/drawing/2014/main" id="{8AD0CD8D-2AA2-4249-B401-6DF7E7092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5A0971" w14:textId="6D292F28" w:rsidR="00F7696E" w:rsidRDefault="00F7696E">
      <w:pPr>
        <w:rPr>
          <w:b/>
        </w:rPr>
      </w:pPr>
      <w:r>
        <w:rPr>
          <w:b/>
        </w:rPr>
        <w:br w:type="page"/>
      </w:r>
    </w:p>
    <w:p w14:paraId="60031315" w14:textId="77777777" w:rsidR="00F7696E" w:rsidRDefault="00F7696E" w:rsidP="00CA6307">
      <w:pPr>
        <w:rPr>
          <w:b/>
        </w:rPr>
      </w:pPr>
    </w:p>
    <w:p w14:paraId="5E8C1A8B" w14:textId="3E54D4E0" w:rsidR="00D6100D" w:rsidRPr="00D6100D" w:rsidRDefault="00D6100D" w:rsidP="00CA6307">
      <w:pPr>
        <w:rPr>
          <w:b/>
        </w:rPr>
      </w:pPr>
      <w:r w:rsidRPr="00D6100D">
        <w:rPr>
          <w:b/>
        </w:rPr>
        <w:t>Figure 3</w:t>
      </w:r>
    </w:p>
    <w:p w14:paraId="57776C4A" w14:textId="43B86F74" w:rsidR="00D6100D" w:rsidRDefault="00D6100D" w:rsidP="00CA6307">
      <w:pPr>
        <w:rPr>
          <w:b/>
        </w:rPr>
      </w:pPr>
    </w:p>
    <w:p w14:paraId="0EA595C3" w14:textId="3E5AB82B" w:rsidR="00815A39" w:rsidRDefault="00BC5411" w:rsidP="00CA6307">
      <w:pPr>
        <w:rPr>
          <w:b/>
        </w:rPr>
      </w:pPr>
      <w:r>
        <w:rPr>
          <w:noProof/>
        </w:rPr>
        <w:drawing>
          <wp:inline distT="0" distB="0" distL="0" distR="0" wp14:anchorId="39581A05" wp14:editId="488125EF">
            <wp:extent cx="5943600" cy="3102429"/>
            <wp:effectExtent l="0" t="0" r="12700" b="9525"/>
            <wp:docPr id="11" name="Chart 11">
              <a:extLst xmlns:a="http://schemas.openxmlformats.org/drawingml/2006/main">
                <a:ext uri="{FF2B5EF4-FFF2-40B4-BE49-F238E27FC236}">
                  <a16:creationId xmlns:a16="http://schemas.microsoft.com/office/drawing/2014/main" id="{5702E50D-B445-9741-9887-5837F413E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EBF9F3" w14:textId="77777777" w:rsidR="00D45F66" w:rsidRDefault="00D45F66" w:rsidP="00CA6307">
      <w:pPr>
        <w:rPr>
          <w:b/>
        </w:rPr>
      </w:pPr>
    </w:p>
    <w:p w14:paraId="25E1F221" w14:textId="62362310" w:rsidR="00D6100D" w:rsidRDefault="00D6100D" w:rsidP="00CA6307">
      <w:pPr>
        <w:rPr>
          <w:b/>
        </w:rPr>
      </w:pPr>
      <w:r>
        <w:rPr>
          <w:b/>
        </w:rPr>
        <w:t>Figure 4</w:t>
      </w:r>
    </w:p>
    <w:p w14:paraId="06D015E5" w14:textId="0A32E03C" w:rsidR="00A54901" w:rsidRDefault="00BC5411" w:rsidP="00CA6307">
      <w:pPr>
        <w:rPr>
          <w:b/>
        </w:rPr>
      </w:pPr>
      <w:r>
        <w:rPr>
          <w:noProof/>
        </w:rPr>
        <w:drawing>
          <wp:inline distT="0" distB="0" distL="0" distR="0" wp14:anchorId="5CD1135F" wp14:editId="3D7BA0EF">
            <wp:extent cx="6343650" cy="4073525"/>
            <wp:effectExtent l="0" t="0" r="6350" b="15875"/>
            <wp:docPr id="12" name="Chart 12">
              <a:extLst xmlns:a="http://schemas.openxmlformats.org/drawingml/2006/main">
                <a:ext uri="{FF2B5EF4-FFF2-40B4-BE49-F238E27FC236}">
                  <a16:creationId xmlns:a16="http://schemas.microsoft.com/office/drawing/2014/main" id="{D5FCC71E-FE65-E44B-8F66-7BDAEE7A0D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EB87C3" w14:textId="77777777" w:rsidR="00815A39" w:rsidRDefault="00815A39" w:rsidP="00CA6307">
      <w:pPr>
        <w:rPr>
          <w:b/>
        </w:rPr>
      </w:pPr>
    </w:p>
    <w:p w14:paraId="071E2B9F" w14:textId="4AE0A87C" w:rsidR="00815A39" w:rsidRDefault="00815A39" w:rsidP="00CA6307">
      <w:pPr>
        <w:rPr>
          <w:b/>
        </w:rPr>
      </w:pPr>
    </w:p>
    <w:p w14:paraId="27AC6C3F" w14:textId="77777777" w:rsidR="009D0068" w:rsidRDefault="009D0068" w:rsidP="00CA6307">
      <w:pPr>
        <w:rPr>
          <w:b/>
        </w:rPr>
      </w:pPr>
    </w:p>
    <w:p w14:paraId="57E2A5DE" w14:textId="0AFB2DC5" w:rsidR="00D6100D" w:rsidRDefault="001327C3" w:rsidP="00CA6307">
      <w:pPr>
        <w:rPr>
          <w:b/>
        </w:rPr>
      </w:pPr>
      <w:r>
        <w:rPr>
          <w:b/>
        </w:rPr>
        <w:t>Figure 5</w:t>
      </w:r>
    </w:p>
    <w:p w14:paraId="61179B55" w14:textId="1F55BF1D" w:rsidR="003A7902" w:rsidRDefault="003A7902" w:rsidP="00CA6307">
      <w:pPr>
        <w:rPr>
          <w:b/>
        </w:rPr>
      </w:pPr>
      <w:r>
        <w:rPr>
          <w:noProof/>
        </w:rPr>
        <w:drawing>
          <wp:inline distT="0" distB="0" distL="0" distR="0" wp14:anchorId="37917348" wp14:editId="4AD9B588">
            <wp:extent cx="6858000" cy="3589655"/>
            <wp:effectExtent l="0" t="0" r="12700" b="17145"/>
            <wp:docPr id="13" name="Chart 13">
              <a:extLst xmlns:a="http://schemas.openxmlformats.org/drawingml/2006/main">
                <a:ext uri="{FF2B5EF4-FFF2-40B4-BE49-F238E27FC236}">
                  <a16:creationId xmlns:a16="http://schemas.microsoft.com/office/drawing/2014/main" id="{17FAE6C7-75C1-494B-ACE6-D3DC7D76E5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92B98" w14:textId="1C7D7ABC" w:rsidR="00D6100D" w:rsidRDefault="00D6100D" w:rsidP="00CA6307">
      <w:pPr>
        <w:rPr>
          <w:b/>
        </w:rPr>
      </w:pPr>
    </w:p>
    <w:p w14:paraId="14DA3273" w14:textId="44064940" w:rsidR="00222567" w:rsidRDefault="009313C3" w:rsidP="00CA6307">
      <w:pPr>
        <w:rPr>
          <w:b/>
        </w:rPr>
      </w:pPr>
      <w:r>
        <w:rPr>
          <w:b/>
        </w:rPr>
        <w:t>References</w:t>
      </w:r>
    </w:p>
    <w:p w14:paraId="03F12E87" w14:textId="77777777" w:rsidR="00D45F66" w:rsidRDefault="00D45F66" w:rsidP="009D0068">
      <w:pPr>
        <w:spacing w:after="120"/>
      </w:pPr>
    </w:p>
    <w:p w14:paraId="4172840A" w14:textId="724CB60E" w:rsidR="009D0068" w:rsidRPr="009313C3" w:rsidRDefault="009D0068" w:rsidP="009D0068">
      <w:pPr>
        <w:spacing w:after="120"/>
      </w:pPr>
      <w:r>
        <w:t xml:space="preserve">BNY Mellon. </w:t>
      </w:r>
      <w:r w:rsidRPr="009D0068">
        <w:rPr>
          <w:i/>
        </w:rPr>
        <w:t>Our 2018 10-Year Capital Market Assumptions</w:t>
      </w:r>
      <w:r>
        <w:t>.</w:t>
      </w:r>
    </w:p>
    <w:p w14:paraId="10442FA7" w14:textId="678B81F6" w:rsidR="001A3986" w:rsidRDefault="001A3986" w:rsidP="00815A39">
      <w:pPr>
        <w:spacing w:after="120"/>
      </w:pPr>
      <w:proofErr w:type="spellStart"/>
      <w:r>
        <w:t>Boudoukh</w:t>
      </w:r>
      <w:proofErr w:type="spellEnd"/>
      <w:r>
        <w:t xml:space="preserve">, Jacob, Ronen Israel and Mathew Richardson. 2018. </w:t>
      </w:r>
      <w:r w:rsidRPr="001A3986">
        <w:rPr>
          <w:i/>
        </w:rPr>
        <w:t>Long Horizon Predictability: A Cautionary Tale</w:t>
      </w:r>
    </w:p>
    <w:p w14:paraId="781FC444" w14:textId="77777777" w:rsidR="00D45F66" w:rsidRDefault="00D45F66" w:rsidP="00D45F66">
      <w:pPr>
        <w:spacing w:after="120"/>
      </w:pPr>
      <w:r>
        <w:t xml:space="preserve">Federal Reserve Bank of St. Louis. </w:t>
      </w:r>
      <w:r w:rsidRPr="00CE2FBE">
        <w:rPr>
          <w:i/>
        </w:rPr>
        <w:t>Federal Reserve Economic Data (FRED)</w:t>
      </w:r>
      <w:r>
        <w:t xml:space="preserve">. </w:t>
      </w:r>
    </w:p>
    <w:p w14:paraId="68451536" w14:textId="3B7F1445" w:rsidR="009D0068" w:rsidRDefault="009D0068" w:rsidP="009D0068">
      <w:pPr>
        <w:spacing w:after="120"/>
      </w:pPr>
      <w:r>
        <w:t>Homer, Sidney</w:t>
      </w:r>
      <w:r w:rsidR="00495AD7">
        <w:t xml:space="preserve"> and Richard </w:t>
      </w:r>
      <w:proofErr w:type="spellStart"/>
      <w:r w:rsidR="00495AD7">
        <w:t>Shylla</w:t>
      </w:r>
      <w:proofErr w:type="spellEnd"/>
      <w:r>
        <w:t xml:space="preserve">. 2005. </w:t>
      </w:r>
      <w:r w:rsidRPr="009313C3">
        <w:rPr>
          <w:i/>
        </w:rPr>
        <w:t>A History of Interest Rates, Fourth Edition</w:t>
      </w:r>
      <w:r>
        <w:t>. John Wiley &amp; Sons, Inc.</w:t>
      </w:r>
    </w:p>
    <w:p w14:paraId="10353263" w14:textId="47CBB2F9" w:rsidR="009D0068" w:rsidRDefault="009D0068" w:rsidP="009D0068">
      <w:pPr>
        <w:spacing w:after="120"/>
      </w:pPr>
      <w:r>
        <w:t xml:space="preserve">JP Morgan Asset Management. </w:t>
      </w:r>
      <w:r w:rsidRPr="009D0068">
        <w:rPr>
          <w:i/>
        </w:rPr>
        <w:t>2018 Long-Term Capital Markets Assumptions</w:t>
      </w:r>
    </w:p>
    <w:p w14:paraId="4034ED8C" w14:textId="62BD3918" w:rsidR="009313C3" w:rsidRDefault="009313C3" w:rsidP="00815A39">
      <w:pPr>
        <w:spacing w:after="120"/>
      </w:pPr>
      <w:r>
        <w:t xml:space="preserve">Shiller, Robert J. 2015. </w:t>
      </w:r>
      <w:r w:rsidRPr="009313C3">
        <w:rPr>
          <w:i/>
        </w:rPr>
        <w:t>Irrational Exuberance, Revised and Expanded Third Edition</w:t>
      </w:r>
      <w:r>
        <w:t>.  Princeton University Press.</w:t>
      </w:r>
    </w:p>
    <w:p w14:paraId="6703464A" w14:textId="03FFEF24" w:rsidR="00CE2FBE" w:rsidRDefault="00CE2FBE" w:rsidP="00815A39">
      <w:pPr>
        <w:spacing w:after="120"/>
      </w:pPr>
      <w:r>
        <w:t xml:space="preserve">Thaler, Richard and </w:t>
      </w:r>
      <w:r w:rsidR="001A3986">
        <w:t xml:space="preserve">Werner F.M. </w:t>
      </w:r>
      <w:r>
        <w:t xml:space="preserve">De </w:t>
      </w:r>
      <w:proofErr w:type="spellStart"/>
      <w:r>
        <w:t>Bondt</w:t>
      </w:r>
      <w:proofErr w:type="spellEnd"/>
      <w:r w:rsidR="001A3986">
        <w:t>. 1985.</w:t>
      </w:r>
      <w:r>
        <w:t xml:space="preserve"> </w:t>
      </w:r>
      <w:r w:rsidR="001A3986" w:rsidRPr="001A3986">
        <w:rPr>
          <w:i/>
        </w:rPr>
        <w:t>Does the Stock Market Overreact?</w:t>
      </w:r>
      <w:r w:rsidR="001A3986">
        <w:t xml:space="preserve"> The Journal of Finance.</w:t>
      </w:r>
    </w:p>
    <w:p w14:paraId="4C75736D" w14:textId="77777777" w:rsidR="002B6B1C" w:rsidRPr="00CA6307" w:rsidRDefault="002B6B1C" w:rsidP="00CA6307">
      <w:pPr>
        <w:rPr>
          <w:b/>
        </w:rPr>
      </w:pPr>
    </w:p>
    <w:sectPr w:rsidR="002B6B1C" w:rsidRPr="00CA6307" w:rsidSect="007D426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0B228" w14:textId="77777777" w:rsidR="00181E28" w:rsidRDefault="00181E28" w:rsidP="006C6FFB">
      <w:r>
        <w:separator/>
      </w:r>
    </w:p>
  </w:endnote>
  <w:endnote w:type="continuationSeparator" w:id="0">
    <w:p w14:paraId="117F07EE" w14:textId="77777777" w:rsidR="00181E28" w:rsidRDefault="00181E28" w:rsidP="006C6FFB">
      <w:r>
        <w:continuationSeparator/>
      </w:r>
    </w:p>
  </w:endnote>
  <w:endnote w:id="1">
    <w:p w14:paraId="02CB805F" w14:textId="75B95671" w:rsidR="00104DD0" w:rsidRPr="00201BB6" w:rsidRDefault="00104DD0">
      <w:pPr>
        <w:pStyle w:val="EndnoteText"/>
      </w:pPr>
      <w:r>
        <w:rPr>
          <w:rStyle w:val="EndnoteReference"/>
        </w:rPr>
        <w:endnoteRef/>
      </w:r>
      <w:r>
        <w:t xml:space="preserve"> Shiller’s </w:t>
      </w:r>
      <w:r w:rsidRPr="00201BB6">
        <w:rPr>
          <w:i/>
        </w:rPr>
        <w:t>Irrational Exuberance</w:t>
      </w:r>
      <w:r>
        <w:t xml:space="preserve"> originally published in 2000 and most recently updated in 2015 is the probably the </w:t>
      </w:r>
      <w:proofErr w:type="gramStart"/>
      <w:r>
        <w:t>best known</w:t>
      </w:r>
      <w:proofErr w:type="gramEnd"/>
      <w:r>
        <w:t xml:space="preserve"> source connecting equity prices and future returns, but many researchers have supported this idea, including Thaler and De</w:t>
      </w:r>
      <w:r w:rsidR="00D45F66">
        <w:t xml:space="preserve"> </w:t>
      </w:r>
      <w:proofErr w:type="spellStart"/>
      <w:r>
        <w:t>Bondt</w:t>
      </w:r>
      <w:proofErr w:type="spellEnd"/>
      <w:r>
        <w:t xml:space="preserve"> in 1985 with their paper </w:t>
      </w:r>
      <w:r w:rsidRPr="00201BB6">
        <w:rPr>
          <w:i/>
        </w:rPr>
        <w:t>Does the Equity Market Overreact?</w:t>
      </w:r>
    </w:p>
  </w:endnote>
  <w:endnote w:id="2">
    <w:p w14:paraId="712614D9" w14:textId="4EC60885" w:rsidR="00104DD0" w:rsidRDefault="00104DD0">
      <w:pPr>
        <w:pStyle w:val="EndnoteText"/>
      </w:pPr>
      <w:r>
        <w:rPr>
          <w:rStyle w:val="EndnoteReference"/>
        </w:rPr>
        <w:endnoteRef/>
      </w:r>
      <w:r>
        <w:t xml:space="preserve"> Price is used as the term for the price of future income (cash flow) in a market, but could refer to different concepts such as a CAPE ratio or a forward-looking P/E ratio.  Even though the terms “valuation”, “market valuation” or “market value” are often used interchangeably with “price”, they do not always convey the same concept and any reference to “value” is avoided in this article, except as a general idea.</w:t>
      </w:r>
    </w:p>
  </w:endnote>
  <w:endnote w:id="3">
    <w:p w14:paraId="53F0E983" w14:textId="0C4EACB0" w:rsidR="00104DD0" w:rsidRDefault="00104DD0">
      <w:pPr>
        <w:pStyle w:val="EndnoteText"/>
      </w:pPr>
      <w:r>
        <w:rPr>
          <w:rStyle w:val="EndnoteReference"/>
        </w:rPr>
        <w:endnoteRef/>
      </w:r>
      <w:r>
        <w:t xml:space="preserve"> JP Morgan Asset Management </w:t>
      </w:r>
      <w:r w:rsidRPr="000A4C17">
        <w:rPr>
          <w:i/>
        </w:rPr>
        <w:t xml:space="preserve">2018 Long-Term Capital Markets Assumptions </w:t>
      </w:r>
      <w:hyperlink r:id="rId1" w:history="1">
        <w:r w:rsidRPr="00412E9B">
          <w:rPr>
            <w:rStyle w:val="Hyperlink"/>
          </w:rPr>
          <w:t>https://am.jpmorgan.com/us/institutional/our-thinking/2018-long-term-capital-market-assumptions</w:t>
        </w:r>
      </w:hyperlink>
      <w:r>
        <w:t xml:space="preserve"> and BNY Mellon’s </w:t>
      </w:r>
      <w:r w:rsidRPr="000A4C17">
        <w:rPr>
          <w:i/>
        </w:rPr>
        <w:t>Our 2018 10-Year Capital Market Assumptions</w:t>
      </w:r>
      <w:r>
        <w:t xml:space="preserve"> </w:t>
      </w:r>
      <w:hyperlink r:id="rId2" w:history="1">
        <w:r w:rsidRPr="00412E9B">
          <w:rPr>
            <w:rStyle w:val="Hyperlink"/>
          </w:rPr>
          <w:t>https://www.bnymellonwealth.com/articles/strategy/our-2018-10-year-capital-market-return-assumptions.jsp</w:t>
        </w:r>
      </w:hyperlink>
      <w:r>
        <w:t xml:space="preserve"> provide examples of equity and corporate bond correlation factors.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C48D" w14:textId="77777777" w:rsidR="00181E28" w:rsidRDefault="00181E28" w:rsidP="006C6FFB">
      <w:r>
        <w:separator/>
      </w:r>
    </w:p>
  </w:footnote>
  <w:footnote w:type="continuationSeparator" w:id="0">
    <w:p w14:paraId="5219C08B" w14:textId="77777777" w:rsidR="00181E28" w:rsidRDefault="00181E28" w:rsidP="006C6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260"/>
    <w:multiLevelType w:val="hybridMultilevel"/>
    <w:tmpl w:val="B57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F4B3F"/>
    <w:multiLevelType w:val="hybridMultilevel"/>
    <w:tmpl w:val="06B49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4064"/>
    <w:multiLevelType w:val="hybridMultilevel"/>
    <w:tmpl w:val="5740A1FE"/>
    <w:lvl w:ilvl="0" w:tplc="F808E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B1C7F"/>
    <w:multiLevelType w:val="hybridMultilevel"/>
    <w:tmpl w:val="B65EA100"/>
    <w:lvl w:ilvl="0" w:tplc="4C54C5BE">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03FBC"/>
    <w:multiLevelType w:val="hybridMultilevel"/>
    <w:tmpl w:val="8AEE34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C02E21"/>
    <w:multiLevelType w:val="hybridMultilevel"/>
    <w:tmpl w:val="EC4CD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D16BA2"/>
    <w:multiLevelType w:val="hybridMultilevel"/>
    <w:tmpl w:val="F974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54DE0"/>
    <w:multiLevelType w:val="hybridMultilevel"/>
    <w:tmpl w:val="8B4C7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07D1C9F"/>
    <w:multiLevelType w:val="hybridMultilevel"/>
    <w:tmpl w:val="57E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A5554"/>
    <w:multiLevelType w:val="hybridMultilevel"/>
    <w:tmpl w:val="A36296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DF3148"/>
    <w:multiLevelType w:val="hybridMultilevel"/>
    <w:tmpl w:val="841CB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F0E61"/>
    <w:multiLevelType w:val="hybridMultilevel"/>
    <w:tmpl w:val="A4802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1D538C"/>
    <w:multiLevelType w:val="hybridMultilevel"/>
    <w:tmpl w:val="E0A6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B7758"/>
    <w:multiLevelType w:val="hybridMultilevel"/>
    <w:tmpl w:val="5740A1FE"/>
    <w:lvl w:ilvl="0" w:tplc="F808E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7679"/>
    <w:multiLevelType w:val="hybridMultilevel"/>
    <w:tmpl w:val="C2B6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668F0"/>
    <w:multiLevelType w:val="hybridMultilevel"/>
    <w:tmpl w:val="A43A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8"/>
  </w:num>
  <w:num w:numId="4">
    <w:abstractNumId w:val="9"/>
  </w:num>
  <w:num w:numId="5">
    <w:abstractNumId w:val="14"/>
  </w:num>
  <w:num w:numId="6">
    <w:abstractNumId w:val="0"/>
  </w:num>
  <w:num w:numId="7">
    <w:abstractNumId w:val="2"/>
  </w:num>
  <w:num w:numId="8">
    <w:abstractNumId w:val="1"/>
  </w:num>
  <w:num w:numId="9">
    <w:abstractNumId w:val="10"/>
  </w:num>
  <w:num w:numId="10">
    <w:abstractNumId w:val="12"/>
  </w:num>
  <w:num w:numId="11">
    <w:abstractNumId w:val="4"/>
  </w:num>
  <w:num w:numId="12">
    <w:abstractNumId w:val="13"/>
  </w:num>
  <w:num w:numId="13">
    <w:abstractNumId w:val="5"/>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10"/>
    <w:rsid w:val="000330BB"/>
    <w:rsid w:val="000349DE"/>
    <w:rsid w:val="000433BD"/>
    <w:rsid w:val="00057AE3"/>
    <w:rsid w:val="0007233E"/>
    <w:rsid w:val="00074D29"/>
    <w:rsid w:val="000A4C17"/>
    <w:rsid w:val="000B3589"/>
    <w:rsid w:val="000C0530"/>
    <w:rsid w:val="000C2FC8"/>
    <w:rsid w:val="000E6A7E"/>
    <w:rsid w:val="000F57FF"/>
    <w:rsid w:val="000F78C9"/>
    <w:rsid w:val="00104DD0"/>
    <w:rsid w:val="00110046"/>
    <w:rsid w:val="001138FB"/>
    <w:rsid w:val="00115D19"/>
    <w:rsid w:val="00120F3C"/>
    <w:rsid w:val="00121C0B"/>
    <w:rsid w:val="001327C3"/>
    <w:rsid w:val="00135258"/>
    <w:rsid w:val="0014510B"/>
    <w:rsid w:val="001516FA"/>
    <w:rsid w:val="00156137"/>
    <w:rsid w:val="001562D9"/>
    <w:rsid w:val="00170484"/>
    <w:rsid w:val="00175279"/>
    <w:rsid w:val="001802B5"/>
    <w:rsid w:val="00181E28"/>
    <w:rsid w:val="00196A1E"/>
    <w:rsid w:val="001A3986"/>
    <w:rsid w:val="001A5919"/>
    <w:rsid w:val="001C07AC"/>
    <w:rsid w:val="001D17F8"/>
    <w:rsid w:val="001D3CBE"/>
    <w:rsid w:val="00201BB6"/>
    <w:rsid w:val="00204FFE"/>
    <w:rsid w:val="00222567"/>
    <w:rsid w:val="00224B8B"/>
    <w:rsid w:val="00234D27"/>
    <w:rsid w:val="00247A1B"/>
    <w:rsid w:val="00250B21"/>
    <w:rsid w:val="00272C8A"/>
    <w:rsid w:val="002B4E2F"/>
    <w:rsid w:val="002B5D6B"/>
    <w:rsid w:val="002B6B1C"/>
    <w:rsid w:val="002D3746"/>
    <w:rsid w:val="002D69B9"/>
    <w:rsid w:val="002D6D80"/>
    <w:rsid w:val="002E0DF4"/>
    <w:rsid w:val="002E2242"/>
    <w:rsid w:val="00304D9A"/>
    <w:rsid w:val="00315FCE"/>
    <w:rsid w:val="00330F83"/>
    <w:rsid w:val="003338D9"/>
    <w:rsid w:val="00335B51"/>
    <w:rsid w:val="00341FCF"/>
    <w:rsid w:val="00347CC9"/>
    <w:rsid w:val="003504A2"/>
    <w:rsid w:val="00353A30"/>
    <w:rsid w:val="003558DA"/>
    <w:rsid w:val="0037045D"/>
    <w:rsid w:val="00370BC3"/>
    <w:rsid w:val="00391BED"/>
    <w:rsid w:val="003A7902"/>
    <w:rsid w:val="003B5551"/>
    <w:rsid w:val="003F022A"/>
    <w:rsid w:val="003F51D6"/>
    <w:rsid w:val="003F6C7F"/>
    <w:rsid w:val="004029CD"/>
    <w:rsid w:val="0040387F"/>
    <w:rsid w:val="00427892"/>
    <w:rsid w:val="00437855"/>
    <w:rsid w:val="004440C1"/>
    <w:rsid w:val="00447682"/>
    <w:rsid w:val="00462C07"/>
    <w:rsid w:val="00467CEA"/>
    <w:rsid w:val="0047100B"/>
    <w:rsid w:val="00475386"/>
    <w:rsid w:val="00483F5B"/>
    <w:rsid w:val="004944D3"/>
    <w:rsid w:val="00495AD7"/>
    <w:rsid w:val="00497D73"/>
    <w:rsid w:val="004B0DEE"/>
    <w:rsid w:val="004B1B2F"/>
    <w:rsid w:val="004B594B"/>
    <w:rsid w:val="004C205D"/>
    <w:rsid w:val="004C5844"/>
    <w:rsid w:val="004C693D"/>
    <w:rsid w:val="004D11FC"/>
    <w:rsid w:val="004D3263"/>
    <w:rsid w:val="004E4652"/>
    <w:rsid w:val="00504DB4"/>
    <w:rsid w:val="00514013"/>
    <w:rsid w:val="0052656A"/>
    <w:rsid w:val="00531C64"/>
    <w:rsid w:val="00534303"/>
    <w:rsid w:val="005445AD"/>
    <w:rsid w:val="00552AC6"/>
    <w:rsid w:val="0055575E"/>
    <w:rsid w:val="00557DDF"/>
    <w:rsid w:val="005744E8"/>
    <w:rsid w:val="005A66F6"/>
    <w:rsid w:val="005B0269"/>
    <w:rsid w:val="005B2957"/>
    <w:rsid w:val="005F03F8"/>
    <w:rsid w:val="005F133A"/>
    <w:rsid w:val="005F7A8C"/>
    <w:rsid w:val="006023D1"/>
    <w:rsid w:val="00603FAD"/>
    <w:rsid w:val="00612345"/>
    <w:rsid w:val="00625021"/>
    <w:rsid w:val="0063173A"/>
    <w:rsid w:val="00635E54"/>
    <w:rsid w:val="00667475"/>
    <w:rsid w:val="00683104"/>
    <w:rsid w:val="00685099"/>
    <w:rsid w:val="00686C34"/>
    <w:rsid w:val="00697059"/>
    <w:rsid w:val="006A59CE"/>
    <w:rsid w:val="006A7657"/>
    <w:rsid w:val="006B1889"/>
    <w:rsid w:val="006B41C2"/>
    <w:rsid w:val="006C5560"/>
    <w:rsid w:val="006C6FFB"/>
    <w:rsid w:val="006D7420"/>
    <w:rsid w:val="006E1551"/>
    <w:rsid w:val="006E7814"/>
    <w:rsid w:val="006E7C52"/>
    <w:rsid w:val="006F2B86"/>
    <w:rsid w:val="006F4603"/>
    <w:rsid w:val="00705699"/>
    <w:rsid w:val="00726092"/>
    <w:rsid w:val="00730092"/>
    <w:rsid w:val="00731C47"/>
    <w:rsid w:val="00736110"/>
    <w:rsid w:val="00750A0A"/>
    <w:rsid w:val="00762C1F"/>
    <w:rsid w:val="00770D3B"/>
    <w:rsid w:val="007742F4"/>
    <w:rsid w:val="007811D4"/>
    <w:rsid w:val="007920F6"/>
    <w:rsid w:val="007A077C"/>
    <w:rsid w:val="007A25B2"/>
    <w:rsid w:val="007C7B59"/>
    <w:rsid w:val="007D4267"/>
    <w:rsid w:val="007D5F10"/>
    <w:rsid w:val="007E3993"/>
    <w:rsid w:val="007F63E9"/>
    <w:rsid w:val="00803795"/>
    <w:rsid w:val="00815A39"/>
    <w:rsid w:val="0082544C"/>
    <w:rsid w:val="00835E59"/>
    <w:rsid w:val="00845BB4"/>
    <w:rsid w:val="00866C24"/>
    <w:rsid w:val="00870BCE"/>
    <w:rsid w:val="008740E0"/>
    <w:rsid w:val="00880794"/>
    <w:rsid w:val="00882018"/>
    <w:rsid w:val="008919D8"/>
    <w:rsid w:val="008B69EE"/>
    <w:rsid w:val="008C058B"/>
    <w:rsid w:val="008C3CD4"/>
    <w:rsid w:val="008C47BC"/>
    <w:rsid w:val="008C5E81"/>
    <w:rsid w:val="008D0B97"/>
    <w:rsid w:val="008D319E"/>
    <w:rsid w:val="008D45CE"/>
    <w:rsid w:val="008E3B5E"/>
    <w:rsid w:val="00905F11"/>
    <w:rsid w:val="00911F01"/>
    <w:rsid w:val="00914DE9"/>
    <w:rsid w:val="00927964"/>
    <w:rsid w:val="009313C3"/>
    <w:rsid w:val="009328F9"/>
    <w:rsid w:val="009341E3"/>
    <w:rsid w:val="009477E3"/>
    <w:rsid w:val="00953D80"/>
    <w:rsid w:val="00963F3F"/>
    <w:rsid w:val="00975585"/>
    <w:rsid w:val="009A1828"/>
    <w:rsid w:val="009A2ECC"/>
    <w:rsid w:val="009A600E"/>
    <w:rsid w:val="009A79BB"/>
    <w:rsid w:val="009B66C7"/>
    <w:rsid w:val="009C5A31"/>
    <w:rsid w:val="009D0068"/>
    <w:rsid w:val="009D49BA"/>
    <w:rsid w:val="009E6B74"/>
    <w:rsid w:val="00A00392"/>
    <w:rsid w:val="00A02C70"/>
    <w:rsid w:val="00A10A0B"/>
    <w:rsid w:val="00A27280"/>
    <w:rsid w:val="00A3098A"/>
    <w:rsid w:val="00A36341"/>
    <w:rsid w:val="00A36DF2"/>
    <w:rsid w:val="00A43030"/>
    <w:rsid w:val="00A54901"/>
    <w:rsid w:val="00A650FD"/>
    <w:rsid w:val="00A72A4F"/>
    <w:rsid w:val="00A91C30"/>
    <w:rsid w:val="00A938F8"/>
    <w:rsid w:val="00AA0C80"/>
    <w:rsid w:val="00AA0DD6"/>
    <w:rsid w:val="00AA1FDB"/>
    <w:rsid w:val="00AC0720"/>
    <w:rsid w:val="00AC576F"/>
    <w:rsid w:val="00AD2FA0"/>
    <w:rsid w:val="00AD3909"/>
    <w:rsid w:val="00AD5E87"/>
    <w:rsid w:val="00AD6F22"/>
    <w:rsid w:val="00AE0442"/>
    <w:rsid w:val="00AE21A1"/>
    <w:rsid w:val="00AE51AF"/>
    <w:rsid w:val="00AE56BB"/>
    <w:rsid w:val="00B0051A"/>
    <w:rsid w:val="00B01EF8"/>
    <w:rsid w:val="00B1091B"/>
    <w:rsid w:val="00B10C0E"/>
    <w:rsid w:val="00B255F2"/>
    <w:rsid w:val="00B31A73"/>
    <w:rsid w:val="00B343CB"/>
    <w:rsid w:val="00B37EBB"/>
    <w:rsid w:val="00B519AD"/>
    <w:rsid w:val="00B569E7"/>
    <w:rsid w:val="00B872AC"/>
    <w:rsid w:val="00B951C0"/>
    <w:rsid w:val="00BB3AB2"/>
    <w:rsid w:val="00BC5411"/>
    <w:rsid w:val="00C108EF"/>
    <w:rsid w:val="00C132BA"/>
    <w:rsid w:val="00C249B3"/>
    <w:rsid w:val="00C25954"/>
    <w:rsid w:val="00C25EA9"/>
    <w:rsid w:val="00C3045C"/>
    <w:rsid w:val="00C3714C"/>
    <w:rsid w:val="00C55BD5"/>
    <w:rsid w:val="00C65EC8"/>
    <w:rsid w:val="00C723D2"/>
    <w:rsid w:val="00C91619"/>
    <w:rsid w:val="00C926F2"/>
    <w:rsid w:val="00C94710"/>
    <w:rsid w:val="00C95362"/>
    <w:rsid w:val="00CA6307"/>
    <w:rsid w:val="00CB35EB"/>
    <w:rsid w:val="00CB447F"/>
    <w:rsid w:val="00CB5E40"/>
    <w:rsid w:val="00CC4F3B"/>
    <w:rsid w:val="00CC69E7"/>
    <w:rsid w:val="00CD4E9A"/>
    <w:rsid w:val="00CE2FBE"/>
    <w:rsid w:val="00CE484C"/>
    <w:rsid w:val="00CE5942"/>
    <w:rsid w:val="00CF7487"/>
    <w:rsid w:val="00D053EC"/>
    <w:rsid w:val="00D11B91"/>
    <w:rsid w:val="00D201CE"/>
    <w:rsid w:val="00D26E7D"/>
    <w:rsid w:val="00D358F0"/>
    <w:rsid w:val="00D45A26"/>
    <w:rsid w:val="00D45F66"/>
    <w:rsid w:val="00D51118"/>
    <w:rsid w:val="00D53CC3"/>
    <w:rsid w:val="00D57F1E"/>
    <w:rsid w:val="00D6100D"/>
    <w:rsid w:val="00D63318"/>
    <w:rsid w:val="00D643A1"/>
    <w:rsid w:val="00D72695"/>
    <w:rsid w:val="00D80E56"/>
    <w:rsid w:val="00D93168"/>
    <w:rsid w:val="00D93EE5"/>
    <w:rsid w:val="00D94B84"/>
    <w:rsid w:val="00D9661C"/>
    <w:rsid w:val="00DA0646"/>
    <w:rsid w:val="00DA35E2"/>
    <w:rsid w:val="00DB2752"/>
    <w:rsid w:val="00DC3609"/>
    <w:rsid w:val="00DC3905"/>
    <w:rsid w:val="00DD2813"/>
    <w:rsid w:val="00DD7041"/>
    <w:rsid w:val="00DE25EB"/>
    <w:rsid w:val="00DE2BBE"/>
    <w:rsid w:val="00DE4E00"/>
    <w:rsid w:val="00DF2A77"/>
    <w:rsid w:val="00E00E5C"/>
    <w:rsid w:val="00E0342C"/>
    <w:rsid w:val="00E05030"/>
    <w:rsid w:val="00E31F0B"/>
    <w:rsid w:val="00E7559B"/>
    <w:rsid w:val="00E8348F"/>
    <w:rsid w:val="00E87AA9"/>
    <w:rsid w:val="00E9101E"/>
    <w:rsid w:val="00EB60F0"/>
    <w:rsid w:val="00EC4879"/>
    <w:rsid w:val="00EC4938"/>
    <w:rsid w:val="00EE139E"/>
    <w:rsid w:val="00EF0A38"/>
    <w:rsid w:val="00EF660C"/>
    <w:rsid w:val="00F0738E"/>
    <w:rsid w:val="00F11B26"/>
    <w:rsid w:val="00F13856"/>
    <w:rsid w:val="00F142FB"/>
    <w:rsid w:val="00F15417"/>
    <w:rsid w:val="00F333C4"/>
    <w:rsid w:val="00F341DC"/>
    <w:rsid w:val="00F37012"/>
    <w:rsid w:val="00F41EB2"/>
    <w:rsid w:val="00F42BAE"/>
    <w:rsid w:val="00F5338A"/>
    <w:rsid w:val="00F57F6D"/>
    <w:rsid w:val="00F7339C"/>
    <w:rsid w:val="00F7696E"/>
    <w:rsid w:val="00FA13BD"/>
    <w:rsid w:val="00FB44A5"/>
    <w:rsid w:val="00FD2E8F"/>
    <w:rsid w:val="00FE03AB"/>
    <w:rsid w:val="00FE5021"/>
    <w:rsid w:val="00FF1D1E"/>
    <w:rsid w:val="00FF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74A23"/>
  <w15:chartTrackingRefBased/>
  <w15:docId w15:val="{27C2C955-DA01-466B-A94F-0CA74BBD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3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386"/>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B1B2F"/>
    <w:rPr>
      <w:sz w:val="18"/>
      <w:szCs w:val="18"/>
    </w:rPr>
  </w:style>
  <w:style w:type="character" w:customStyle="1" w:styleId="BalloonTextChar">
    <w:name w:val="Balloon Text Char"/>
    <w:basedOn w:val="DefaultParagraphFont"/>
    <w:link w:val="BalloonText"/>
    <w:uiPriority w:val="99"/>
    <w:semiHidden/>
    <w:rsid w:val="004B1B2F"/>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B1B2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B1B2F"/>
    <w:rPr>
      <w:sz w:val="20"/>
      <w:szCs w:val="20"/>
    </w:rPr>
  </w:style>
  <w:style w:type="character" w:styleId="FootnoteReference">
    <w:name w:val="footnote reference"/>
    <w:basedOn w:val="DefaultParagraphFont"/>
    <w:uiPriority w:val="99"/>
    <w:semiHidden/>
    <w:unhideWhenUsed/>
    <w:rsid w:val="004B1B2F"/>
    <w:rPr>
      <w:vertAlign w:val="superscript"/>
    </w:rPr>
  </w:style>
  <w:style w:type="table" w:styleId="GridTable4-Accent5">
    <w:name w:val="Grid Table 4 Accent 5"/>
    <w:basedOn w:val="TableNormal"/>
    <w:uiPriority w:val="49"/>
    <w:rsid w:val="00224B8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CA6307"/>
    <w:rPr>
      <w:color w:val="0563C1" w:themeColor="hyperlink"/>
      <w:u w:val="single"/>
    </w:rPr>
  </w:style>
  <w:style w:type="character" w:styleId="UnresolvedMention">
    <w:name w:val="Unresolved Mention"/>
    <w:basedOn w:val="DefaultParagraphFont"/>
    <w:uiPriority w:val="99"/>
    <w:semiHidden/>
    <w:unhideWhenUsed/>
    <w:rsid w:val="00CA6307"/>
    <w:rPr>
      <w:color w:val="605E5C"/>
      <w:shd w:val="clear" w:color="auto" w:fill="E1DFDD"/>
    </w:rPr>
  </w:style>
  <w:style w:type="table" w:styleId="GridTable4-Accent3">
    <w:name w:val="Grid Table 4 Accent 3"/>
    <w:basedOn w:val="TableNormal"/>
    <w:uiPriority w:val="49"/>
    <w:rsid w:val="00963F3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dnoteText">
    <w:name w:val="endnote text"/>
    <w:basedOn w:val="Normal"/>
    <w:link w:val="EndnoteTextChar"/>
    <w:uiPriority w:val="99"/>
    <w:semiHidden/>
    <w:unhideWhenUsed/>
    <w:rsid w:val="00E0342C"/>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0342C"/>
    <w:rPr>
      <w:sz w:val="20"/>
      <w:szCs w:val="20"/>
    </w:rPr>
  </w:style>
  <w:style w:type="character" w:styleId="EndnoteReference">
    <w:name w:val="endnote reference"/>
    <w:basedOn w:val="DefaultParagraphFont"/>
    <w:uiPriority w:val="99"/>
    <w:semiHidden/>
    <w:unhideWhenUsed/>
    <w:rsid w:val="00E0342C"/>
    <w:rPr>
      <w:vertAlign w:val="superscript"/>
    </w:rPr>
  </w:style>
  <w:style w:type="character" w:styleId="CommentReference">
    <w:name w:val="annotation reference"/>
    <w:basedOn w:val="DefaultParagraphFont"/>
    <w:uiPriority w:val="99"/>
    <w:semiHidden/>
    <w:unhideWhenUsed/>
    <w:rsid w:val="00F7339C"/>
    <w:rPr>
      <w:sz w:val="16"/>
      <w:szCs w:val="16"/>
    </w:rPr>
  </w:style>
  <w:style w:type="paragraph" w:styleId="CommentText">
    <w:name w:val="annotation text"/>
    <w:basedOn w:val="Normal"/>
    <w:link w:val="CommentTextChar"/>
    <w:uiPriority w:val="99"/>
    <w:semiHidden/>
    <w:unhideWhenUsed/>
    <w:rsid w:val="00F7339C"/>
    <w:rPr>
      <w:sz w:val="20"/>
      <w:szCs w:val="20"/>
    </w:rPr>
  </w:style>
  <w:style w:type="character" w:customStyle="1" w:styleId="CommentTextChar">
    <w:name w:val="Comment Text Char"/>
    <w:basedOn w:val="DefaultParagraphFont"/>
    <w:link w:val="CommentText"/>
    <w:uiPriority w:val="99"/>
    <w:semiHidden/>
    <w:rsid w:val="00F7339C"/>
    <w:rPr>
      <w:sz w:val="20"/>
      <w:szCs w:val="20"/>
    </w:rPr>
  </w:style>
  <w:style w:type="character" w:styleId="FollowedHyperlink">
    <w:name w:val="FollowedHyperlink"/>
    <w:basedOn w:val="DefaultParagraphFont"/>
    <w:uiPriority w:val="99"/>
    <w:semiHidden/>
    <w:unhideWhenUsed/>
    <w:rsid w:val="00F733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8846">
      <w:bodyDiv w:val="1"/>
      <w:marLeft w:val="0"/>
      <w:marRight w:val="0"/>
      <w:marTop w:val="0"/>
      <w:marBottom w:val="0"/>
      <w:divBdr>
        <w:top w:val="none" w:sz="0" w:space="0" w:color="auto"/>
        <w:left w:val="none" w:sz="0" w:space="0" w:color="auto"/>
        <w:bottom w:val="none" w:sz="0" w:space="0" w:color="auto"/>
        <w:right w:val="none" w:sz="0" w:space="0" w:color="auto"/>
      </w:divBdr>
    </w:div>
    <w:div w:id="39012724">
      <w:bodyDiv w:val="1"/>
      <w:marLeft w:val="0"/>
      <w:marRight w:val="0"/>
      <w:marTop w:val="0"/>
      <w:marBottom w:val="0"/>
      <w:divBdr>
        <w:top w:val="none" w:sz="0" w:space="0" w:color="auto"/>
        <w:left w:val="none" w:sz="0" w:space="0" w:color="auto"/>
        <w:bottom w:val="none" w:sz="0" w:space="0" w:color="auto"/>
        <w:right w:val="none" w:sz="0" w:space="0" w:color="auto"/>
      </w:divBdr>
    </w:div>
    <w:div w:id="63068218">
      <w:bodyDiv w:val="1"/>
      <w:marLeft w:val="0"/>
      <w:marRight w:val="0"/>
      <w:marTop w:val="0"/>
      <w:marBottom w:val="0"/>
      <w:divBdr>
        <w:top w:val="none" w:sz="0" w:space="0" w:color="auto"/>
        <w:left w:val="none" w:sz="0" w:space="0" w:color="auto"/>
        <w:bottom w:val="none" w:sz="0" w:space="0" w:color="auto"/>
        <w:right w:val="none" w:sz="0" w:space="0" w:color="auto"/>
      </w:divBdr>
    </w:div>
    <w:div w:id="133498307">
      <w:bodyDiv w:val="1"/>
      <w:marLeft w:val="0"/>
      <w:marRight w:val="0"/>
      <w:marTop w:val="0"/>
      <w:marBottom w:val="0"/>
      <w:divBdr>
        <w:top w:val="none" w:sz="0" w:space="0" w:color="auto"/>
        <w:left w:val="none" w:sz="0" w:space="0" w:color="auto"/>
        <w:bottom w:val="none" w:sz="0" w:space="0" w:color="auto"/>
        <w:right w:val="none" w:sz="0" w:space="0" w:color="auto"/>
      </w:divBdr>
    </w:div>
    <w:div w:id="155927371">
      <w:bodyDiv w:val="1"/>
      <w:marLeft w:val="0"/>
      <w:marRight w:val="0"/>
      <w:marTop w:val="0"/>
      <w:marBottom w:val="0"/>
      <w:divBdr>
        <w:top w:val="none" w:sz="0" w:space="0" w:color="auto"/>
        <w:left w:val="none" w:sz="0" w:space="0" w:color="auto"/>
        <w:bottom w:val="none" w:sz="0" w:space="0" w:color="auto"/>
        <w:right w:val="none" w:sz="0" w:space="0" w:color="auto"/>
      </w:divBdr>
    </w:div>
    <w:div w:id="159349041">
      <w:bodyDiv w:val="1"/>
      <w:marLeft w:val="0"/>
      <w:marRight w:val="0"/>
      <w:marTop w:val="0"/>
      <w:marBottom w:val="0"/>
      <w:divBdr>
        <w:top w:val="none" w:sz="0" w:space="0" w:color="auto"/>
        <w:left w:val="none" w:sz="0" w:space="0" w:color="auto"/>
        <w:bottom w:val="none" w:sz="0" w:space="0" w:color="auto"/>
        <w:right w:val="none" w:sz="0" w:space="0" w:color="auto"/>
      </w:divBdr>
    </w:div>
    <w:div w:id="175923060">
      <w:bodyDiv w:val="1"/>
      <w:marLeft w:val="0"/>
      <w:marRight w:val="0"/>
      <w:marTop w:val="0"/>
      <w:marBottom w:val="0"/>
      <w:divBdr>
        <w:top w:val="none" w:sz="0" w:space="0" w:color="auto"/>
        <w:left w:val="none" w:sz="0" w:space="0" w:color="auto"/>
        <w:bottom w:val="none" w:sz="0" w:space="0" w:color="auto"/>
        <w:right w:val="none" w:sz="0" w:space="0" w:color="auto"/>
      </w:divBdr>
    </w:div>
    <w:div w:id="211238440">
      <w:bodyDiv w:val="1"/>
      <w:marLeft w:val="0"/>
      <w:marRight w:val="0"/>
      <w:marTop w:val="0"/>
      <w:marBottom w:val="0"/>
      <w:divBdr>
        <w:top w:val="none" w:sz="0" w:space="0" w:color="auto"/>
        <w:left w:val="none" w:sz="0" w:space="0" w:color="auto"/>
        <w:bottom w:val="none" w:sz="0" w:space="0" w:color="auto"/>
        <w:right w:val="none" w:sz="0" w:space="0" w:color="auto"/>
      </w:divBdr>
    </w:div>
    <w:div w:id="218516635">
      <w:bodyDiv w:val="1"/>
      <w:marLeft w:val="0"/>
      <w:marRight w:val="0"/>
      <w:marTop w:val="0"/>
      <w:marBottom w:val="0"/>
      <w:divBdr>
        <w:top w:val="none" w:sz="0" w:space="0" w:color="auto"/>
        <w:left w:val="none" w:sz="0" w:space="0" w:color="auto"/>
        <w:bottom w:val="none" w:sz="0" w:space="0" w:color="auto"/>
        <w:right w:val="none" w:sz="0" w:space="0" w:color="auto"/>
      </w:divBdr>
    </w:div>
    <w:div w:id="233397490">
      <w:bodyDiv w:val="1"/>
      <w:marLeft w:val="0"/>
      <w:marRight w:val="0"/>
      <w:marTop w:val="0"/>
      <w:marBottom w:val="0"/>
      <w:divBdr>
        <w:top w:val="none" w:sz="0" w:space="0" w:color="auto"/>
        <w:left w:val="none" w:sz="0" w:space="0" w:color="auto"/>
        <w:bottom w:val="none" w:sz="0" w:space="0" w:color="auto"/>
        <w:right w:val="none" w:sz="0" w:space="0" w:color="auto"/>
      </w:divBdr>
    </w:div>
    <w:div w:id="275795453">
      <w:bodyDiv w:val="1"/>
      <w:marLeft w:val="0"/>
      <w:marRight w:val="0"/>
      <w:marTop w:val="0"/>
      <w:marBottom w:val="0"/>
      <w:divBdr>
        <w:top w:val="none" w:sz="0" w:space="0" w:color="auto"/>
        <w:left w:val="none" w:sz="0" w:space="0" w:color="auto"/>
        <w:bottom w:val="none" w:sz="0" w:space="0" w:color="auto"/>
        <w:right w:val="none" w:sz="0" w:space="0" w:color="auto"/>
      </w:divBdr>
    </w:div>
    <w:div w:id="305281034">
      <w:bodyDiv w:val="1"/>
      <w:marLeft w:val="0"/>
      <w:marRight w:val="0"/>
      <w:marTop w:val="0"/>
      <w:marBottom w:val="0"/>
      <w:divBdr>
        <w:top w:val="none" w:sz="0" w:space="0" w:color="auto"/>
        <w:left w:val="none" w:sz="0" w:space="0" w:color="auto"/>
        <w:bottom w:val="none" w:sz="0" w:space="0" w:color="auto"/>
        <w:right w:val="none" w:sz="0" w:space="0" w:color="auto"/>
      </w:divBdr>
    </w:div>
    <w:div w:id="385036011">
      <w:bodyDiv w:val="1"/>
      <w:marLeft w:val="0"/>
      <w:marRight w:val="0"/>
      <w:marTop w:val="0"/>
      <w:marBottom w:val="0"/>
      <w:divBdr>
        <w:top w:val="none" w:sz="0" w:space="0" w:color="auto"/>
        <w:left w:val="none" w:sz="0" w:space="0" w:color="auto"/>
        <w:bottom w:val="none" w:sz="0" w:space="0" w:color="auto"/>
        <w:right w:val="none" w:sz="0" w:space="0" w:color="auto"/>
      </w:divBdr>
    </w:div>
    <w:div w:id="481627622">
      <w:bodyDiv w:val="1"/>
      <w:marLeft w:val="0"/>
      <w:marRight w:val="0"/>
      <w:marTop w:val="0"/>
      <w:marBottom w:val="0"/>
      <w:divBdr>
        <w:top w:val="none" w:sz="0" w:space="0" w:color="auto"/>
        <w:left w:val="none" w:sz="0" w:space="0" w:color="auto"/>
        <w:bottom w:val="none" w:sz="0" w:space="0" w:color="auto"/>
        <w:right w:val="none" w:sz="0" w:space="0" w:color="auto"/>
      </w:divBdr>
    </w:div>
    <w:div w:id="521286156">
      <w:bodyDiv w:val="1"/>
      <w:marLeft w:val="0"/>
      <w:marRight w:val="0"/>
      <w:marTop w:val="0"/>
      <w:marBottom w:val="0"/>
      <w:divBdr>
        <w:top w:val="none" w:sz="0" w:space="0" w:color="auto"/>
        <w:left w:val="none" w:sz="0" w:space="0" w:color="auto"/>
        <w:bottom w:val="none" w:sz="0" w:space="0" w:color="auto"/>
        <w:right w:val="none" w:sz="0" w:space="0" w:color="auto"/>
      </w:divBdr>
    </w:div>
    <w:div w:id="529607407">
      <w:bodyDiv w:val="1"/>
      <w:marLeft w:val="0"/>
      <w:marRight w:val="0"/>
      <w:marTop w:val="0"/>
      <w:marBottom w:val="0"/>
      <w:divBdr>
        <w:top w:val="none" w:sz="0" w:space="0" w:color="auto"/>
        <w:left w:val="none" w:sz="0" w:space="0" w:color="auto"/>
        <w:bottom w:val="none" w:sz="0" w:space="0" w:color="auto"/>
        <w:right w:val="none" w:sz="0" w:space="0" w:color="auto"/>
      </w:divBdr>
    </w:div>
    <w:div w:id="541331407">
      <w:bodyDiv w:val="1"/>
      <w:marLeft w:val="0"/>
      <w:marRight w:val="0"/>
      <w:marTop w:val="0"/>
      <w:marBottom w:val="0"/>
      <w:divBdr>
        <w:top w:val="none" w:sz="0" w:space="0" w:color="auto"/>
        <w:left w:val="none" w:sz="0" w:space="0" w:color="auto"/>
        <w:bottom w:val="none" w:sz="0" w:space="0" w:color="auto"/>
        <w:right w:val="none" w:sz="0" w:space="0" w:color="auto"/>
      </w:divBdr>
    </w:div>
    <w:div w:id="595944278">
      <w:bodyDiv w:val="1"/>
      <w:marLeft w:val="0"/>
      <w:marRight w:val="0"/>
      <w:marTop w:val="0"/>
      <w:marBottom w:val="0"/>
      <w:divBdr>
        <w:top w:val="none" w:sz="0" w:space="0" w:color="auto"/>
        <w:left w:val="none" w:sz="0" w:space="0" w:color="auto"/>
        <w:bottom w:val="none" w:sz="0" w:space="0" w:color="auto"/>
        <w:right w:val="none" w:sz="0" w:space="0" w:color="auto"/>
      </w:divBdr>
    </w:div>
    <w:div w:id="645860333">
      <w:bodyDiv w:val="1"/>
      <w:marLeft w:val="0"/>
      <w:marRight w:val="0"/>
      <w:marTop w:val="0"/>
      <w:marBottom w:val="0"/>
      <w:divBdr>
        <w:top w:val="none" w:sz="0" w:space="0" w:color="auto"/>
        <w:left w:val="none" w:sz="0" w:space="0" w:color="auto"/>
        <w:bottom w:val="none" w:sz="0" w:space="0" w:color="auto"/>
        <w:right w:val="none" w:sz="0" w:space="0" w:color="auto"/>
      </w:divBdr>
    </w:div>
    <w:div w:id="665019469">
      <w:bodyDiv w:val="1"/>
      <w:marLeft w:val="0"/>
      <w:marRight w:val="0"/>
      <w:marTop w:val="0"/>
      <w:marBottom w:val="0"/>
      <w:divBdr>
        <w:top w:val="none" w:sz="0" w:space="0" w:color="auto"/>
        <w:left w:val="none" w:sz="0" w:space="0" w:color="auto"/>
        <w:bottom w:val="none" w:sz="0" w:space="0" w:color="auto"/>
        <w:right w:val="none" w:sz="0" w:space="0" w:color="auto"/>
      </w:divBdr>
    </w:div>
    <w:div w:id="679508196">
      <w:bodyDiv w:val="1"/>
      <w:marLeft w:val="0"/>
      <w:marRight w:val="0"/>
      <w:marTop w:val="0"/>
      <w:marBottom w:val="0"/>
      <w:divBdr>
        <w:top w:val="none" w:sz="0" w:space="0" w:color="auto"/>
        <w:left w:val="none" w:sz="0" w:space="0" w:color="auto"/>
        <w:bottom w:val="none" w:sz="0" w:space="0" w:color="auto"/>
        <w:right w:val="none" w:sz="0" w:space="0" w:color="auto"/>
      </w:divBdr>
    </w:div>
    <w:div w:id="731276407">
      <w:bodyDiv w:val="1"/>
      <w:marLeft w:val="0"/>
      <w:marRight w:val="0"/>
      <w:marTop w:val="0"/>
      <w:marBottom w:val="0"/>
      <w:divBdr>
        <w:top w:val="none" w:sz="0" w:space="0" w:color="auto"/>
        <w:left w:val="none" w:sz="0" w:space="0" w:color="auto"/>
        <w:bottom w:val="none" w:sz="0" w:space="0" w:color="auto"/>
        <w:right w:val="none" w:sz="0" w:space="0" w:color="auto"/>
      </w:divBdr>
    </w:div>
    <w:div w:id="747339772">
      <w:bodyDiv w:val="1"/>
      <w:marLeft w:val="0"/>
      <w:marRight w:val="0"/>
      <w:marTop w:val="0"/>
      <w:marBottom w:val="0"/>
      <w:divBdr>
        <w:top w:val="none" w:sz="0" w:space="0" w:color="auto"/>
        <w:left w:val="none" w:sz="0" w:space="0" w:color="auto"/>
        <w:bottom w:val="none" w:sz="0" w:space="0" w:color="auto"/>
        <w:right w:val="none" w:sz="0" w:space="0" w:color="auto"/>
      </w:divBdr>
    </w:div>
    <w:div w:id="784928326">
      <w:bodyDiv w:val="1"/>
      <w:marLeft w:val="0"/>
      <w:marRight w:val="0"/>
      <w:marTop w:val="0"/>
      <w:marBottom w:val="0"/>
      <w:divBdr>
        <w:top w:val="none" w:sz="0" w:space="0" w:color="auto"/>
        <w:left w:val="none" w:sz="0" w:space="0" w:color="auto"/>
        <w:bottom w:val="none" w:sz="0" w:space="0" w:color="auto"/>
        <w:right w:val="none" w:sz="0" w:space="0" w:color="auto"/>
      </w:divBdr>
    </w:div>
    <w:div w:id="805052603">
      <w:bodyDiv w:val="1"/>
      <w:marLeft w:val="0"/>
      <w:marRight w:val="0"/>
      <w:marTop w:val="0"/>
      <w:marBottom w:val="0"/>
      <w:divBdr>
        <w:top w:val="none" w:sz="0" w:space="0" w:color="auto"/>
        <w:left w:val="none" w:sz="0" w:space="0" w:color="auto"/>
        <w:bottom w:val="none" w:sz="0" w:space="0" w:color="auto"/>
        <w:right w:val="none" w:sz="0" w:space="0" w:color="auto"/>
      </w:divBdr>
    </w:div>
    <w:div w:id="815414722">
      <w:bodyDiv w:val="1"/>
      <w:marLeft w:val="0"/>
      <w:marRight w:val="0"/>
      <w:marTop w:val="0"/>
      <w:marBottom w:val="0"/>
      <w:divBdr>
        <w:top w:val="none" w:sz="0" w:space="0" w:color="auto"/>
        <w:left w:val="none" w:sz="0" w:space="0" w:color="auto"/>
        <w:bottom w:val="none" w:sz="0" w:space="0" w:color="auto"/>
        <w:right w:val="none" w:sz="0" w:space="0" w:color="auto"/>
      </w:divBdr>
    </w:div>
    <w:div w:id="870653735">
      <w:bodyDiv w:val="1"/>
      <w:marLeft w:val="0"/>
      <w:marRight w:val="0"/>
      <w:marTop w:val="0"/>
      <w:marBottom w:val="0"/>
      <w:divBdr>
        <w:top w:val="none" w:sz="0" w:space="0" w:color="auto"/>
        <w:left w:val="none" w:sz="0" w:space="0" w:color="auto"/>
        <w:bottom w:val="none" w:sz="0" w:space="0" w:color="auto"/>
        <w:right w:val="none" w:sz="0" w:space="0" w:color="auto"/>
      </w:divBdr>
    </w:div>
    <w:div w:id="962003483">
      <w:bodyDiv w:val="1"/>
      <w:marLeft w:val="0"/>
      <w:marRight w:val="0"/>
      <w:marTop w:val="0"/>
      <w:marBottom w:val="0"/>
      <w:divBdr>
        <w:top w:val="none" w:sz="0" w:space="0" w:color="auto"/>
        <w:left w:val="none" w:sz="0" w:space="0" w:color="auto"/>
        <w:bottom w:val="none" w:sz="0" w:space="0" w:color="auto"/>
        <w:right w:val="none" w:sz="0" w:space="0" w:color="auto"/>
      </w:divBdr>
    </w:div>
    <w:div w:id="985471145">
      <w:bodyDiv w:val="1"/>
      <w:marLeft w:val="0"/>
      <w:marRight w:val="0"/>
      <w:marTop w:val="0"/>
      <w:marBottom w:val="0"/>
      <w:divBdr>
        <w:top w:val="none" w:sz="0" w:space="0" w:color="auto"/>
        <w:left w:val="none" w:sz="0" w:space="0" w:color="auto"/>
        <w:bottom w:val="none" w:sz="0" w:space="0" w:color="auto"/>
        <w:right w:val="none" w:sz="0" w:space="0" w:color="auto"/>
      </w:divBdr>
    </w:div>
    <w:div w:id="1089548169">
      <w:bodyDiv w:val="1"/>
      <w:marLeft w:val="0"/>
      <w:marRight w:val="0"/>
      <w:marTop w:val="0"/>
      <w:marBottom w:val="0"/>
      <w:divBdr>
        <w:top w:val="none" w:sz="0" w:space="0" w:color="auto"/>
        <w:left w:val="none" w:sz="0" w:space="0" w:color="auto"/>
        <w:bottom w:val="none" w:sz="0" w:space="0" w:color="auto"/>
        <w:right w:val="none" w:sz="0" w:space="0" w:color="auto"/>
      </w:divBdr>
    </w:div>
    <w:div w:id="1115371277">
      <w:bodyDiv w:val="1"/>
      <w:marLeft w:val="0"/>
      <w:marRight w:val="0"/>
      <w:marTop w:val="0"/>
      <w:marBottom w:val="0"/>
      <w:divBdr>
        <w:top w:val="none" w:sz="0" w:space="0" w:color="auto"/>
        <w:left w:val="none" w:sz="0" w:space="0" w:color="auto"/>
        <w:bottom w:val="none" w:sz="0" w:space="0" w:color="auto"/>
        <w:right w:val="none" w:sz="0" w:space="0" w:color="auto"/>
      </w:divBdr>
    </w:div>
    <w:div w:id="1123160270">
      <w:bodyDiv w:val="1"/>
      <w:marLeft w:val="0"/>
      <w:marRight w:val="0"/>
      <w:marTop w:val="0"/>
      <w:marBottom w:val="0"/>
      <w:divBdr>
        <w:top w:val="none" w:sz="0" w:space="0" w:color="auto"/>
        <w:left w:val="none" w:sz="0" w:space="0" w:color="auto"/>
        <w:bottom w:val="none" w:sz="0" w:space="0" w:color="auto"/>
        <w:right w:val="none" w:sz="0" w:space="0" w:color="auto"/>
      </w:divBdr>
    </w:div>
    <w:div w:id="1132019947">
      <w:bodyDiv w:val="1"/>
      <w:marLeft w:val="0"/>
      <w:marRight w:val="0"/>
      <w:marTop w:val="0"/>
      <w:marBottom w:val="0"/>
      <w:divBdr>
        <w:top w:val="none" w:sz="0" w:space="0" w:color="auto"/>
        <w:left w:val="none" w:sz="0" w:space="0" w:color="auto"/>
        <w:bottom w:val="none" w:sz="0" w:space="0" w:color="auto"/>
        <w:right w:val="none" w:sz="0" w:space="0" w:color="auto"/>
      </w:divBdr>
    </w:div>
    <w:div w:id="1152873633">
      <w:bodyDiv w:val="1"/>
      <w:marLeft w:val="0"/>
      <w:marRight w:val="0"/>
      <w:marTop w:val="0"/>
      <w:marBottom w:val="0"/>
      <w:divBdr>
        <w:top w:val="none" w:sz="0" w:space="0" w:color="auto"/>
        <w:left w:val="none" w:sz="0" w:space="0" w:color="auto"/>
        <w:bottom w:val="none" w:sz="0" w:space="0" w:color="auto"/>
        <w:right w:val="none" w:sz="0" w:space="0" w:color="auto"/>
      </w:divBdr>
    </w:div>
    <w:div w:id="1170562186">
      <w:bodyDiv w:val="1"/>
      <w:marLeft w:val="0"/>
      <w:marRight w:val="0"/>
      <w:marTop w:val="0"/>
      <w:marBottom w:val="0"/>
      <w:divBdr>
        <w:top w:val="none" w:sz="0" w:space="0" w:color="auto"/>
        <w:left w:val="none" w:sz="0" w:space="0" w:color="auto"/>
        <w:bottom w:val="none" w:sz="0" w:space="0" w:color="auto"/>
        <w:right w:val="none" w:sz="0" w:space="0" w:color="auto"/>
      </w:divBdr>
    </w:div>
    <w:div w:id="1180042674">
      <w:bodyDiv w:val="1"/>
      <w:marLeft w:val="0"/>
      <w:marRight w:val="0"/>
      <w:marTop w:val="0"/>
      <w:marBottom w:val="0"/>
      <w:divBdr>
        <w:top w:val="none" w:sz="0" w:space="0" w:color="auto"/>
        <w:left w:val="none" w:sz="0" w:space="0" w:color="auto"/>
        <w:bottom w:val="none" w:sz="0" w:space="0" w:color="auto"/>
        <w:right w:val="none" w:sz="0" w:space="0" w:color="auto"/>
      </w:divBdr>
    </w:div>
    <w:div w:id="1190098430">
      <w:bodyDiv w:val="1"/>
      <w:marLeft w:val="0"/>
      <w:marRight w:val="0"/>
      <w:marTop w:val="0"/>
      <w:marBottom w:val="0"/>
      <w:divBdr>
        <w:top w:val="none" w:sz="0" w:space="0" w:color="auto"/>
        <w:left w:val="none" w:sz="0" w:space="0" w:color="auto"/>
        <w:bottom w:val="none" w:sz="0" w:space="0" w:color="auto"/>
        <w:right w:val="none" w:sz="0" w:space="0" w:color="auto"/>
      </w:divBdr>
    </w:div>
    <w:div w:id="1262683310">
      <w:bodyDiv w:val="1"/>
      <w:marLeft w:val="0"/>
      <w:marRight w:val="0"/>
      <w:marTop w:val="0"/>
      <w:marBottom w:val="0"/>
      <w:divBdr>
        <w:top w:val="none" w:sz="0" w:space="0" w:color="auto"/>
        <w:left w:val="none" w:sz="0" w:space="0" w:color="auto"/>
        <w:bottom w:val="none" w:sz="0" w:space="0" w:color="auto"/>
        <w:right w:val="none" w:sz="0" w:space="0" w:color="auto"/>
      </w:divBdr>
    </w:div>
    <w:div w:id="1299384171">
      <w:bodyDiv w:val="1"/>
      <w:marLeft w:val="0"/>
      <w:marRight w:val="0"/>
      <w:marTop w:val="0"/>
      <w:marBottom w:val="0"/>
      <w:divBdr>
        <w:top w:val="none" w:sz="0" w:space="0" w:color="auto"/>
        <w:left w:val="none" w:sz="0" w:space="0" w:color="auto"/>
        <w:bottom w:val="none" w:sz="0" w:space="0" w:color="auto"/>
        <w:right w:val="none" w:sz="0" w:space="0" w:color="auto"/>
      </w:divBdr>
    </w:div>
    <w:div w:id="1337030061">
      <w:bodyDiv w:val="1"/>
      <w:marLeft w:val="0"/>
      <w:marRight w:val="0"/>
      <w:marTop w:val="0"/>
      <w:marBottom w:val="0"/>
      <w:divBdr>
        <w:top w:val="none" w:sz="0" w:space="0" w:color="auto"/>
        <w:left w:val="none" w:sz="0" w:space="0" w:color="auto"/>
        <w:bottom w:val="none" w:sz="0" w:space="0" w:color="auto"/>
        <w:right w:val="none" w:sz="0" w:space="0" w:color="auto"/>
      </w:divBdr>
    </w:div>
    <w:div w:id="1361779078">
      <w:bodyDiv w:val="1"/>
      <w:marLeft w:val="0"/>
      <w:marRight w:val="0"/>
      <w:marTop w:val="0"/>
      <w:marBottom w:val="0"/>
      <w:divBdr>
        <w:top w:val="none" w:sz="0" w:space="0" w:color="auto"/>
        <w:left w:val="none" w:sz="0" w:space="0" w:color="auto"/>
        <w:bottom w:val="none" w:sz="0" w:space="0" w:color="auto"/>
        <w:right w:val="none" w:sz="0" w:space="0" w:color="auto"/>
      </w:divBdr>
    </w:div>
    <w:div w:id="1369258712">
      <w:bodyDiv w:val="1"/>
      <w:marLeft w:val="0"/>
      <w:marRight w:val="0"/>
      <w:marTop w:val="0"/>
      <w:marBottom w:val="0"/>
      <w:divBdr>
        <w:top w:val="none" w:sz="0" w:space="0" w:color="auto"/>
        <w:left w:val="none" w:sz="0" w:space="0" w:color="auto"/>
        <w:bottom w:val="none" w:sz="0" w:space="0" w:color="auto"/>
        <w:right w:val="none" w:sz="0" w:space="0" w:color="auto"/>
      </w:divBdr>
    </w:div>
    <w:div w:id="1393427180">
      <w:bodyDiv w:val="1"/>
      <w:marLeft w:val="0"/>
      <w:marRight w:val="0"/>
      <w:marTop w:val="0"/>
      <w:marBottom w:val="0"/>
      <w:divBdr>
        <w:top w:val="none" w:sz="0" w:space="0" w:color="auto"/>
        <w:left w:val="none" w:sz="0" w:space="0" w:color="auto"/>
        <w:bottom w:val="none" w:sz="0" w:space="0" w:color="auto"/>
        <w:right w:val="none" w:sz="0" w:space="0" w:color="auto"/>
      </w:divBdr>
    </w:div>
    <w:div w:id="1421952209">
      <w:bodyDiv w:val="1"/>
      <w:marLeft w:val="0"/>
      <w:marRight w:val="0"/>
      <w:marTop w:val="0"/>
      <w:marBottom w:val="0"/>
      <w:divBdr>
        <w:top w:val="none" w:sz="0" w:space="0" w:color="auto"/>
        <w:left w:val="none" w:sz="0" w:space="0" w:color="auto"/>
        <w:bottom w:val="none" w:sz="0" w:space="0" w:color="auto"/>
        <w:right w:val="none" w:sz="0" w:space="0" w:color="auto"/>
      </w:divBdr>
    </w:div>
    <w:div w:id="1434203496">
      <w:bodyDiv w:val="1"/>
      <w:marLeft w:val="0"/>
      <w:marRight w:val="0"/>
      <w:marTop w:val="0"/>
      <w:marBottom w:val="0"/>
      <w:divBdr>
        <w:top w:val="none" w:sz="0" w:space="0" w:color="auto"/>
        <w:left w:val="none" w:sz="0" w:space="0" w:color="auto"/>
        <w:bottom w:val="none" w:sz="0" w:space="0" w:color="auto"/>
        <w:right w:val="none" w:sz="0" w:space="0" w:color="auto"/>
      </w:divBdr>
    </w:div>
    <w:div w:id="1487628363">
      <w:bodyDiv w:val="1"/>
      <w:marLeft w:val="0"/>
      <w:marRight w:val="0"/>
      <w:marTop w:val="0"/>
      <w:marBottom w:val="0"/>
      <w:divBdr>
        <w:top w:val="none" w:sz="0" w:space="0" w:color="auto"/>
        <w:left w:val="none" w:sz="0" w:space="0" w:color="auto"/>
        <w:bottom w:val="none" w:sz="0" w:space="0" w:color="auto"/>
        <w:right w:val="none" w:sz="0" w:space="0" w:color="auto"/>
      </w:divBdr>
    </w:div>
    <w:div w:id="1505054286">
      <w:bodyDiv w:val="1"/>
      <w:marLeft w:val="0"/>
      <w:marRight w:val="0"/>
      <w:marTop w:val="0"/>
      <w:marBottom w:val="0"/>
      <w:divBdr>
        <w:top w:val="none" w:sz="0" w:space="0" w:color="auto"/>
        <w:left w:val="none" w:sz="0" w:space="0" w:color="auto"/>
        <w:bottom w:val="none" w:sz="0" w:space="0" w:color="auto"/>
        <w:right w:val="none" w:sz="0" w:space="0" w:color="auto"/>
      </w:divBdr>
    </w:div>
    <w:div w:id="1548184285">
      <w:bodyDiv w:val="1"/>
      <w:marLeft w:val="0"/>
      <w:marRight w:val="0"/>
      <w:marTop w:val="0"/>
      <w:marBottom w:val="0"/>
      <w:divBdr>
        <w:top w:val="none" w:sz="0" w:space="0" w:color="auto"/>
        <w:left w:val="none" w:sz="0" w:space="0" w:color="auto"/>
        <w:bottom w:val="none" w:sz="0" w:space="0" w:color="auto"/>
        <w:right w:val="none" w:sz="0" w:space="0" w:color="auto"/>
      </w:divBdr>
    </w:div>
    <w:div w:id="1559243806">
      <w:bodyDiv w:val="1"/>
      <w:marLeft w:val="0"/>
      <w:marRight w:val="0"/>
      <w:marTop w:val="0"/>
      <w:marBottom w:val="0"/>
      <w:divBdr>
        <w:top w:val="none" w:sz="0" w:space="0" w:color="auto"/>
        <w:left w:val="none" w:sz="0" w:space="0" w:color="auto"/>
        <w:bottom w:val="none" w:sz="0" w:space="0" w:color="auto"/>
        <w:right w:val="none" w:sz="0" w:space="0" w:color="auto"/>
      </w:divBdr>
    </w:div>
    <w:div w:id="1597054678">
      <w:bodyDiv w:val="1"/>
      <w:marLeft w:val="0"/>
      <w:marRight w:val="0"/>
      <w:marTop w:val="0"/>
      <w:marBottom w:val="0"/>
      <w:divBdr>
        <w:top w:val="none" w:sz="0" w:space="0" w:color="auto"/>
        <w:left w:val="none" w:sz="0" w:space="0" w:color="auto"/>
        <w:bottom w:val="none" w:sz="0" w:space="0" w:color="auto"/>
        <w:right w:val="none" w:sz="0" w:space="0" w:color="auto"/>
      </w:divBdr>
    </w:div>
    <w:div w:id="1753811841">
      <w:bodyDiv w:val="1"/>
      <w:marLeft w:val="0"/>
      <w:marRight w:val="0"/>
      <w:marTop w:val="0"/>
      <w:marBottom w:val="0"/>
      <w:divBdr>
        <w:top w:val="none" w:sz="0" w:space="0" w:color="auto"/>
        <w:left w:val="none" w:sz="0" w:space="0" w:color="auto"/>
        <w:bottom w:val="none" w:sz="0" w:space="0" w:color="auto"/>
        <w:right w:val="none" w:sz="0" w:space="0" w:color="auto"/>
      </w:divBdr>
    </w:div>
    <w:div w:id="1921672382">
      <w:bodyDiv w:val="1"/>
      <w:marLeft w:val="0"/>
      <w:marRight w:val="0"/>
      <w:marTop w:val="0"/>
      <w:marBottom w:val="0"/>
      <w:divBdr>
        <w:top w:val="none" w:sz="0" w:space="0" w:color="auto"/>
        <w:left w:val="none" w:sz="0" w:space="0" w:color="auto"/>
        <w:bottom w:val="none" w:sz="0" w:space="0" w:color="auto"/>
        <w:right w:val="none" w:sz="0" w:space="0" w:color="auto"/>
      </w:divBdr>
    </w:div>
    <w:div w:id="1939479639">
      <w:bodyDiv w:val="1"/>
      <w:marLeft w:val="0"/>
      <w:marRight w:val="0"/>
      <w:marTop w:val="0"/>
      <w:marBottom w:val="0"/>
      <w:divBdr>
        <w:top w:val="none" w:sz="0" w:space="0" w:color="auto"/>
        <w:left w:val="none" w:sz="0" w:space="0" w:color="auto"/>
        <w:bottom w:val="none" w:sz="0" w:space="0" w:color="auto"/>
        <w:right w:val="none" w:sz="0" w:space="0" w:color="auto"/>
      </w:divBdr>
    </w:div>
    <w:div w:id="1998455164">
      <w:bodyDiv w:val="1"/>
      <w:marLeft w:val="0"/>
      <w:marRight w:val="0"/>
      <w:marTop w:val="0"/>
      <w:marBottom w:val="0"/>
      <w:divBdr>
        <w:top w:val="none" w:sz="0" w:space="0" w:color="auto"/>
        <w:left w:val="none" w:sz="0" w:space="0" w:color="auto"/>
        <w:bottom w:val="none" w:sz="0" w:space="0" w:color="auto"/>
        <w:right w:val="none" w:sz="0" w:space="0" w:color="auto"/>
      </w:divBdr>
    </w:div>
    <w:div w:id="2006738462">
      <w:bodyDiv w:val="1"/>
      <w:marLeft w:val="0"/>
      <w:marRight w:val="0"/>
      <w:marTop w:val="0"/>
      <w:marBottom w:val="0"/>
      <w:divBdr>
        <w:top w:val="none" w:sz="0" w:space="0" w:color="auto"/>
        <w:left w:val="none" w:sz="0" w:space="0" w:color="auto"/>
        <w:bottom w:val="none" w:sz="0" w:space="0" w:color="auto"/>
        <w:right w:val="none" w:sz="0" w:space="0" w:color="auto"/>
      </w:divBdr>
    </w:div>
    <w:div w:id="2049990924">
      <w:bodyDiv w:val="1"/>
      <w:marLeft w:val="0"/>
      <w:marRight w:val="0"/>
      <w:marTop w:val="0"/>
      <w:marBottom w:val="0"/>
      <w:divBdr>
        <w:top w:val="none" w:sz="0" w:space="0" w:color="auto"/>
        <w:left w:val="none" w:sz="0" w:space="0" w:color="auto"/>
        <w:bottom w:val="none" w:sz="0" w:space="0" w:color="auto"/>
        <w:right w:val="none" w:sz="0" w:space="0" w:color="auto"/>
      </w:divBdr>
    </w:div>
    <w:div w:id="2065565121">
      <w:bodyDiv w:val="1"/>
      <w:marLeft w:val="0"/>
      <w:marRight w:val="0"/>
      <w:marTop w:val="0"/>
      <w:marBottom w:val="0"/>
      <w:divBdr>
        <w:top w:val="none" w:sz="0" w:space="0" w:color="auto"/>
        <w:left w:val="none" w:sz="0" w:space="0" w:color="auto"/>
        <w:bottom w:val="none" w:sz="0" w:space="0" w:color="auto"/>
        <w:right w:val="none" w:sz="0" w:space="0" w:color="auto"/>
      </w:divBdr>
    </w:div>
    <w:div w:id="2099593187">
      <w:bodyDiv w:val="1"/>
      <w:marLeft w:val="0"/>
      <w:marRight w:val="0"/>
      <w:marTop w:val="0"/>
      <w:marBottom w:val="0"/>
      <w:divBdr>
        <w:top w:val="none" w:sz="0" w:space="0" w:color="auto"/>
        <w:left w:val="none" w:sz="0" w:space="0" w:color="auto"/>
        <w:bottom w:val="none" w:sz="0" w:space="0" w:color="auto"/>
        <w:right w:val="none" w:sz="0" w:space="0" w:color="auto"/>
      </w:divBdr>
    </w:div>
    <w:div w:id="21323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yale.edu/~shiller/data.htm"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fred.stlouisfed.org/series/BAA" TargetMode="External"/><Relationship Id="rId14" Type="http://schemas.openxmlformats.org/officeDocument/2006/relationships/chart" Target="charts/chart5.xml"/></Relationships>
</file>

<file path=word/_rels/endnotes.xml.rels><?xml version="1.0" encoding="UTF-8" standalone="yes"?>
<Relationships xmlns="http://schemas.openxmlformats.org/package/2006/relationships"><Relationship Id="rId2" Type="http://schemas.openxmlformats.org/officeDocument/2006/relationships/hyperlink" Target="https://www.bnymellonwealth.com/articles/strategy/our-2018-10-year-capital-market-return-assumptions.jsp" TargetMode="External"/><Relationship Id="rId1" Type="http://schemas.openxmlformats.org/officeDocument/2006/relationships/hyperlink" Target="https://am.jpmorgan.com/us/institutional/our-thinking/2018-long-term-capital-market-assumption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1/CAPE</a:t>
            </a:r>
            <a:r>
              <a:rPr lang="en-US" baseline="0"/>
              <a:t> vs. 10-Year Treasury (10YrT),</a:t>
            </a:r>
          </a:p>
          <a:p>
            <a:pPr>
              <a:defRPr/>
            </a:pPr>
            <a:r>
              <a:rPr lang="en-US" baseline="0"/>
              <a:t>1953 - 2018, Monthly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xVal>
            <c:numRef>
              <c:f>'monthly return'!$D$994:$D$1781</c:f>
              <c:numCache>
                <c:formatCode>0%</c:formatCode>
                <c:ptCount val="788"/>
                <c:pt idx="0">
                  <c:v>2.8300000000000002E-2</c:v>
                </c:pt>
                <c:pt idx="1">
                  <c:v>2.8008333333333333E-2</c:v>
                </c:pt>
                <c:pt idx="2">
                  <c:v>2.7716666666666664E-2</c:v>
                </c:pt>
                <c:pt idx="3">
                  <c:v>2.8300000000000002E-2</c:v>
                </c:pt>
                <c:pt idx="4">
                  <c:v>3.0499999999999999E-2</c:v>
                </c:pt>
                <c:pt idx="5">
                  <c:v>3.1099999999999999E-2</c:v>
                </c:pt>
                <c:pt idx="6">
                  <c:v>2.9300000000000003E-2</c:v>
                </c:pt>
                <c:pt idx="7">
                  <c:v>2.9500000000000002E-2</c:v>
                </c:pt>
                <c:pt idx="8">
                  <c:v>2.87E-2</c:v>
                </c:pt>
                <c:pt idx="9">
                  <c:v>2.6600000000000002E-2</c:v>
                </c:pt>
                <c:pt idx="10">
                  <c:v>2.6800000000000001E-2</c:v>
                </c:pt>
                <c:pt idx="11">
                  <c:v>2.5899999999999999E-2</c:v>
                </c:pt>
                <c:pt idx="12">
                  <c:v>2.4799999999999999E-2</c:v>
                </c:pt>
                <c:pt idx="13">
                  <c:v>2.4700000000000003E-2</c:v>
                </c:pt>
                <c:pt idx="14">
                  <c:v>2.3700000000000002E-2</c:v>
                </c:pt>
                <c:pt idx="15">
                  <c:v>2.29E-2</c:v>
                </c:pt>
                <c:pt idx="16">
                  <c:v>2.3700000000000002E-2</c:v>
                </c:pt>
                <c:pt idx="17">
                  <c:v>2.3799999999999998E-2</c:v>
                </c:pt>
                <c:pt idx="18">
                  <c:v>2.3E-2</c:v>
                </c:pt>
                <c:pt idx="19">
                  <c:v>2.3599999999999999E-2</c:v>
                </c:pt>
                <c:pt idx="20">
                  <c:v>2.3799999999999998E-2</c:v>
                </c:pt>
                <c:pt idx="21">
                  <c:v>2.4300000000000002E-2</c:v>
                </c:pt>
                <c:pt idx="22">
                  <c:v>2.4799999999999999E-2</c:v>
                </c:pt>
                <c:pt idx="23">
                  <c:v>2.5099999999999997E-2</c:v>
                </c:pt>
                <c:pt idx="24">
                  <c:v>2.6099999999999998E-2</c:v>
                </c:pt>
                <c:pt idx="25">
                  <c:v>2.6499999999999999E-2</c:v>
                </c:pt>
                <c:pt idx="26">
                  <c:v>2.6800000000000001E-2</c:v>
                </c:pt>
                <c:pt idx="27">
                  <c:v>2.75E-2</c:v>
                </c:pt>
                <c:pt idx="28">
                  <c:v>2.76E-2</c:v>
                </c:pt>
                <c:pt idx="29">
                  <c:v>2.7799999999999998E-2</c:v>
                </c:pt>
                <c:pt idx="30">
                  <c:v>2.8999999999999998E-2</c:v>
                </c:pt>
                <c:pt idx="31">
                  <c:v>2.9700000000000001E-2</c:v>
                </c:pt>
                <c:pt idx="32">
                  <c:v>2.9700000000000001E-2</c:v>
                </c:pt>
                <c:pt idx="33">
                  <c:v>2.8799999999999999E-2</c:v>
                </c:pt>
                <c:pt idx="34">
                  <c:v>2.8900000000000002E-2</c:v>
                </c:pt>
                <c:pt idx="35">
                  <c:v>2.9600000000000001E-2</c:v>
                </c:pt>
                <c:pt idx="36">
                  <c:v>2.8999999999999998E-2</c:v>
                </c:pt>
                <c:pt idx="37">
                  <c:v>2.8399999999999998E-2</c:v>
                </c:pt>
                <c:pt idx="38">
                  <c:v>2.9600000000000001E-2</c:v>
                </c:pt>
                <c:pt idx="39">
                  <c:v>3.1800000000000002E-2</c:v>
                </c:pt>
                <c:pt idx="40">
                  <c:v>3.0699999999999998E-2</c:v>
                </c:pt>
                <c:pt idx="41">
                  <c:v>0.03</c:v>
                </c:pt>
                <c:pt idx="42">
                  <c:v>3.1099999999999999E-2</c:v>
                </c:pt>
                <c:pt idx="43">
                  <c:v>3.3300000000000003E-2</c:v>
                </c:pt>
                <c:pt idx="44">
                  <c:v>3.3799999999999997E-2</c:v>
                </c:pt>
                <c:pt idx="45">
                  <c:v>3.3399999999999999E-2</c:v>
                </c:pt>
                <c:pt idx="46">
                  <c:v>3.49E-2</c:v>
                </c:pt>
                <c:pt idx="47">
                  <c:v>3.5900000000000001E-2</c:v>
                </c:pt>
                <c:pt idx="48">
                  <c:v>3.4599999999999999E-2</c:v>
                </c:pt>
                <c:pt idx="49">
                  <c:v>3.3399999999999999E-2</c:v>
                </c:pt>
                <c:pt idx="50">
                  <c:v>3.4099999999999998E-2</c:v>
                </c:pt>
                <c:pt idx="51">
                  <c:v>3.4799999999999998E-2</c:v>
                </c:pt>
                <c:pt idx="52">
                  <c:v>3.6000000000000004E-2</c:v>
                </c:pt>
                <c:pt idx="53">
                  <c:v>3.7999999999999999E-2</c:v>
                </c:pt>
                <c:pt idx="54">
                  <c:v>3.9300000000000002E-2</c:v>
                </c:pt>
                <c:pt idx="55">
                  <c:v>3.9300000000000002E-2</c:v>
                </c:pt>
                <c:pt idx="56">
                  <c:v>3.9199999999999999E-2</c:v>
                </c:pt>
                <c:pt idx="57">
                  <c:v>3.9699999999999999E-2</c:v>
                </c:pt>
                <c:pt idx="58">
                  <c:v>3.7200000000000004E-2</c:v>
                </c:pt>
                <c:pt idx="59">
                  <c:v>3.2099999999999997E-2</c:v>
                </c:pt>
                <c:pt idx="60">
                  <c:v>3.0899999999999997E-2</c:v>
                </c:pt>
                <c:pt idx="61">
                  <c:v>3.0499999999999999E-2</c:v>
                </c:pt>
                <c:pt idx="62">
                  <c:v>2.98E-2</c:v>
                </c:pt>
                <c:pt idx="63">
                  <c:v>2.8799999999999999E-2</c:v>
                </c:pt>
                <c:pt idx="64">
                  <c:v>2.92E-2</c:v>
                </c:pt>
                <c:pt idx="65">
                  <c:v>2.9700000000000001E-2</c:v>
                </c:pt>
                <c:pt idx="66">
                  <c:v>3.2000000000000001E-2</c:v>
                </c:pt>
                <c:pt idx="67">
                  <c:v>3.5400000000000001E-2</c:v>
                </c:pt>
                <c:pt idx="68">
                  <c:v>3.7599999999999995E-2</c:v>
                </c:pt>
                <c:pt idx="69">
                  <c:v>3.7999999999999999E-2</c:v>
                </c:pt>
                <c:pt idx="70">
                  <c:v>3.7400000000000003E-2</c:v>
                </c:pt>
                <c:pt idx="71">
                  <c:v>3.8599999999999995E-2</c:v>
                </c:pt>
                <c:pt idx="72">
                  <c:v>4.0199999999999993E-2</c:v>
                </c:pt>
                <c:pt idx="73">
                  <c:v>3.9599999999999996E-2</c:v>
                </c:pt>
                <c:pt idx="74">
                  <c:v>3.9900000000000005E-2</c:v>
                </c:pt>
                <c:pt idx="75">
                  <c:v>4.1200000000000001E-2</c:v>
                </c:pt>
                <c:pt idx="76">
                  <c:v>4.3099999999999999E-2</c:v>
                </c:pt>
                <c:pt idx="77">
                  <c:v>4.3400000000000001E-2</c:v>
                </c:pt>
                <c:pt idx="78">
                  <c:v>4.4000000000000004E-2</c:v>
                </c:pt>
                <c:pt idx="79">
                  <c:v>4.4299999999999999E-2</c:v>
                </c:pt>
                <c:pt idx="80">
                  <c:v>4.6799999999999994E-2</c:v>
                </c:pt>
                <c:pt idx="81">
                  <c:v>4.53E-2</c:v>
                </c:pt>
                <c:pt idx="82">
                  <c:v>4.53E-2</c:v>
                </c:pt>
                <c:pt idx="83">
                  <c:v>4.6900000000000004E-2</c:v>
                </c:pt>
                <c:pt idx="84">
                  <c:v>4.7199999999999999E-2</c:v>
                </c:pt>
                <c:pt idx="85">
                  <c:v>4.4900000000000002E-2</c:v>
                </c:pt>
                <c:pt idx="86">
                  <c:v>4.2500000000000003E-2</c:v>
                </c:pt>
                <c:pt idx="87">
                  <c:v>4.2800000000000005E-2</c:v>
                </c:pt>
                <c:pt idx="88">
                  <c:v>4.3499999999999997E-2</c:v>
                </c:pt>
                <c:pt idx="89">
                  <c:v>4.1500000000000002E-2</c:v>
                </c:pt>
                <c:pt idx="90">
                  <c:v>3.9E-2</c:v>
                </c:pt>
                <c:pt idx="91">
                  <c:v>3.7999999999999999E-2</c:v>
                </c:pt>
                <c:pt idx="92">
                  <c:v>3.7999999999999999E-2</c:v>
                </c:pt>
                <c:pt idx="93">
                  <c:v>3.8900000000000004E-2</c:v>
                </c:pt>
                <c:pt idx="94">
                  <c:v>3.9300000000000002E-2</c:v>
                </c:pt>
                <c:pt idx="95">
                  <c:v>3.8399999999999997E-2</c:v>
                </c:pt>
                <c:pt idx="96">
                  <c:v>3.8399999999999997E-2</c:v>
                </c:pt>
                <c:pt idx="97">
                  <c:v>3.78E-2</c:v>
                </c:pt>
                <c:pt idx="98">
                  <c:v>3.7400000000000003E-2</c:v>
                </c:pt>
                <c:pt idx="99">
                  <c:v>3.78E-2</c:v>
                </c:pt>
                <c:pt idx="100">
                  <c:v>3.7100000000000001E-2</c:v>
                </c:pt>
                <c:pt idx="101">
                  <c:v>3.8800000000000001E-2</c:v>
                </c:pt>
                <c:pt idx="102">
                  <c:v>3.9199999999999999E-2</c:v>
                </c:pt>
                <c:pt idx="103">
                  <c:v>4.0399999999999998E-2</c:v>
                </c:pt>
                <c:pt idx="104">
                  <c:v>3.9800000000000002E-2</c:v>
                </c:pt>
                <c:pt idx="105">
                  <c:v>3.9199999999999999E-2</c:v>
                </c:pt>
                <c:pt idx="106">
                  <c:v>3.9399999999999998E-2</c:v>
                </c:pt>
                <c:pt idx="107">
                  <c:v>4.0599999999999997E-2</c:v>
                </c:pt>
                <c:pt idx="108">
                  <c:v>4.0800000000000003E-2</c:v>
                </c:pt>
                <c:pt idx="109">
                  <c:v>4.0399999999999998E-2</c:v>
                </c:pt>
                <c:pt idx="110">
                  <c:v>3.9300000000000002E-2</c:v>
                </c:pt>
                <c:pt idx="111">
                  <c:v>3.8399999999999997E-2</c:v>
                </c:pt>
                <c:pt idx="112">
                  <c:v>3.8699999999999998E-2</c:v>
                </c:pt>
                <c:pt idx="113">
                  <c:v>3.9100000000000003E-2</c:v>
                </c:pt>
                <c:pt idx="114">
                  <c:v>4.0099999999999997E-2</c:v>
                </c:pt>
                <c:pt idx="115">
                  <c:v>3.9800000000000002E-2</c:v>
                </c:pt>
                <c:pt idx="116">
                  <c:v>3.9800000000000002E-2</c:v>
                </c:pt>
                <c:pt idx="117">
                  <c:v>3.9300000000000002E-2</c:v>
                </c:pt>
                <c:pt idx="118">
                  <c:v>3.9199999999999999E-2</c:v>
                </c:pt>
                <c:pt idx="119">
                  <c:v>3.8599999999999995E-2</c:v>
                </c:pt>
                <c:pt idx="120">
                  <c:v>3.8300000000000001E-2</c:v>
                </c:pt>
                <c:pt idx="121">
                  <c:v>3.9199999999999999E-2</c:v>
                </c:pt>
                <c:pt idx="122">
                  <c:v>3.9300000000000002E-2</c:v>
                </c:pt>
                <c:pt idx="123">
                  <c:v>3.9699999999999999E-2</c:v>
                </c:pt>
                <c:pt idx="124">
                  <c:v>3.9300000000000002E-2</c:v>
                </c:pt>
                <c:pt idx="125">
                  <c:v>3.9900000000000005E-2</c:v>
                </c:pt>
                <c:pt idx="126">
                  <c:v>4.0199999999999993E-2</c:v>
                </c:pt>
                <c:pt idx="127">
                  <c:v>0.04</c:v>
                </c:pt>
                <c:pt idx="128">
                  <c:v>4.0800000000000003E-2</c:v>
                </c:pt>
                <c:pt idx="129">
                  <c:v>4.1100000000000005E-2</c:v>
                </c:pt>
                <c:pt idx="130">
                  <c:v>4.1200000000000001E-2</c:v>
                </c:pt>
                <c:pt idx="131">
                  <c:v>4.1299999999999996E-2</c:v>
                </c:pt>
                <c:pt idx="132">
                  <c:v>4.1700000000000001E-2</c:v>
                </c:pt>
                <c:pt idx="133">
                  <c:v>4.1500000000000002E-2</c:v>
                </c:pt>
                <c:pt idx="134">
                  <c:v>4.2199999999999994E-2</c:v>
                </c:pt>
                <c:pt idx="135">
                  <c:v>4.2300000000000004E-2</c:v>
                </c:pt>
                <c:pt idx="136">
                  <c:v>4.2000000000000003E-2</c:v>
                </c:pt>
                <c:pt idx="137">
                  <c:v>4.1700000000000001E-2</c:v>
                </c:pt>
                <c:pt idx="138">
                  <c:v>4.1900000000000007E-2</c:v>
                </c:pt>
                <c:pt idx="139">
                  <c:v>4.1900000000000007E-2</c:v>
                </c:pt>
                <c:pt idx="140">
                  <c:v>4.2000000000000003E-2</c:v>
                </c:pt>
                <c:pt idx="141">
                  <c:v>4.1900000000000007E-2</c:v>
                </c:pt>
                <c:pt idx="142">
                  <c:v>4.1500000000000002E-2</c:v>
                </c:pt>
                <c:pt idx="143">
                  <c:v>4.1799999999999997E-2</c:v>
                </c:pt>
                <c:pt idx="144">
                  <c:v>4.1900000000000007E-2</c:v>
                </c:pt>
                <c:pt idx="145">
                  <c:v>4.2099999999999999E-2</c:v>
                </c:pt>
                <c:pt idx="146">
                  <c:v>4.2099999999999999E-2</c:v>
                </c:pt>
                <c:pt idx="147">
                  <c:v>4.2000000000000003E-2</c:v>
                </c:pt>
                <c:pt idx="148">
                  <c:v>4.2099999999999999E-2</c:v>
                </c:pt>
                <c:pt idx="149">
                  <c:v>4.2099999999999999E-2</c:v>
                </c:pt>
                <c:pt idx="150">
                  <c:v>4.2000000000000003E-2</c:v>
                </c:pt>
                <c:pt idx="151">
                  <c:v>4.2500000000000003E-2</c:v>
                </c:pt>
                <c:pt idx="152">
                  <c:v>4.2900000000000001E-2</c:v>
                </c:pt>
                <c:pt idx="153">
                  <c:v>4.3499999999999997E-2</c:v>
                </c:pt>
                <c:pt idx="154">
                  <c:v>4.4500000000000005E-2</c:v>
                </c:pt>
                <c:pt idx="155">
                  <c:v>4.6199999999999998E-2</c:v>
                </c:pt>
                <c:pt idx="156">
                  <c:v>4.6100000000000002E-2</c:v>
                </c:pt>
                <c:pt idx="157">
                  <c:v>4.8300000000000003E-2</c:v>
                </c:pt>
                <c:pt idx="158">
                  <c:v>4.87E-2</c:v>
                </c:pt>
                <c:pt idx="159">
                  <c:v>4.7500000000000001E-2</c:v>
                </c:pt>
                <c:pt idx="160">
                  <c:v>4.7800000000000002E-2</c:v>
                </c:pt>
                <c:pt idx="161">
                  <c:v>4.8099999999999997E-2</c:v>
                </c:pt>
                <c:pt idx="162">
                  <c:v>5.0199999999999995E-2</c:v>
                </c:pt>
                <c:pt idx="163">
                  <c:v>5.2199999999999996E-2</c:v>
                </c:pt>
                <c:pt idx="164">
                  <c:v>5.1799999999999999E-2</c:v>
                </c:pt>
                <c:pt idx="165">
                  <c:v>5.0099999999999999E-2</c:v>
                </c:pt>
                <c:pt idx="166">
                  <c:v>5.16E-2</c:v>
                </c:pt>
                <c:pt idx="167">
                  <c:v>4.8399999999999999E-2</c:v>
                </c:pt>
                <c:pt idx="168">
                  <c:v>4.58E-2</c:v>
                </c:pt>
                <c:pt idx="169">
                  <c:v>4.6300000000000001E-2</c:v>
                </c:pt>
                <c:pt idx="170">
                  <c:v>4.5400000000000003E-2</c:v>
                </c:pt>
                <c:pt idx="171">
                  <c:v>4.5899999999999996E-2</c:v>
                </c:pt>
                <c:pt idx="172">
                  <c:v>4.8499999999999995E-2</c:v>
                </c:pt>
                <c:pt idx="173">
                  <c:v>5.0199999999999995E-2</c:v>
                </c:pt>
                <c:pt idx="174">
                  <c:v>5.16E-2</c:v>
                </c:pt>
                <c:pt idx="175">
                  <c:v>5.28E-2</c:v>
                </c:pt>
                <c:pt idx="176">
                  <c:v>5.2999999999999999E-2</c:v>
                </c:pt>
                <c:pt idx="177">
                  <c:v>5.4800000000000001E-2</c:v>
                </c:pt>
                <c:pt idx="178">
                  <c:v>5.7500000000000002E-2</c:v>
                </c:pt>
                <c:pt idx="179">
                  <c:v>5.7000000000000002E-2</c:v>
                </c:pt>
                <c:pt idx="180">
                  <c:v>5.5300000000000002E-2</c:v>
                </c:pt>
                <c:pt idx="181">
                  <c:v>5.5599999999999997E-2</c:v>
                </c:pt>
                <c:pt idx="182">
                  <c:v>5.74E-2</c:v>
                </c:pt>
                <c:pt idx="183">
                  <c:v>5.6399999999999999E-2</c:v>
                </c:pt>
                <c:pt idx="184">
                  <c:v>5.8700000000000002E-2</c:v>
                </c:pt>
                <c:pt idx="185">
                  <c:v>5.7200000000000001E-2</c:v>
                </c:pt>
                <c:pt idx="186">
                  <c:v>5.5E-2</c:v>
                </c:pt>
                <c:pt idx="187">
                  <c:v>5.4199999999999998E-2</c:v>
                </c:pt>
                <c:pt idx="188">
                  <c:v>5.4600000000000003E-2</c:v>
                </c:pt>
                <c:pt idx="189">
                  <c:v>5.5800000000000002E-2</c:v>
                </c:pt>
                <c:pt idx="190">
                  <c:v>5.7000000000000002E-2</c:v>
                </c:pt>
                <c:pt idx="191">
                  <c:v>6.0299999999999999E-2</c:v>
                </c:pt>
                <c:pt idx="192">
                  <c:v>6.0400000000000002E-2</c:v>
                </c:pt>
                <c:pt idx="193">
                  <c:v>6.1900000000000004E-2</c:v>
                </c:pt>
                <c:pt idx="194">
                  <c:v>6.3E-2</c:v>
                </c:pt>
                <c:pt idx="195">
                  <c:v>6.1699999999999998E-2</c:v>
                </c:pt>
                <c:pt idx="196">
                  <c:v>6.3200000000000006E-2</c:v>
                </c:pt>
                <c:pt idx="197">
                  <c:v>6.5700000000000008E-2</c:v>
                </c:pt>
                <c:pt idx="198">
                  <c:v>6.7199999999999996E-2</c:v>
                </c:pt>
                <c:pt idx="199">
                  <c:v>6.6900000000000001E-2</c:v>
                </c:pt>
                <c:pt idx="200">
                  <c:v>7.1599999999999997E-2</c:v>
                </c:pt>
                <c:pt idx="201">
                  <c:v>7.0999999999999994E-2</c:v>
                </c:pt>
                <c:pt idx="202">
                  <c:v>7.1399999999999991E-2</c:v>
                </c:pt>
                <c:pt idx="203">
                  <c:v>7.6499999999999999E-2</c:v>
                </c:pt>
                <c:pt idx="204">
                  <c:v>7.7899999999999997E-2</c:v>
                </c:pt>
                <c:pt idx="205">
                  <c:v>7.2400000000000006E-2</c:v>
                </c:pt>
                <c:pt idx="206">
                  <c:v>7.0699999999999999E-2</c:v>
                </c:pt>
                <c:pt idx="207">
                  <c:v>7.3899999999999993E-2</c:v>
                </c:pt>
                <c:pt idx="208">
                  <c:v>7.9100000000000004E-2</c:v>
                </c:pt>
                <c:pt idx="209">
                  <c:v>7.8399999999999997E-2</c:v>
                </c:pt>
                <c:pt idx="210">
                  <c:v>7.46E-2</c:v>
                </c:pt>
                <c:pt idx="211">
                  <c:v>7.5300000000000006E-2</c:v>
                </c:pt>
                <c:pt idx="212">
                  <c:v>7.3899999999999993E-2</c:v>
                </c:pt>
                <c:pt idx="213">
                  <c:v>7.3300000000000004E-2</c:v>
                </c:pt>
                <c:pt idx="214">
                  <c:v>6.8400000000000002E-2</c:v>
                </c:pt>
                <c:pt idx="215">
                  <c:v>6.3899999999999998E-2</c:v>
                </c:pt>
                <c:pt idx="216">
                  <c:v>6.2400000000000004E-2</c:v>
                </c:pt>
                <c:pt idx="217">
                  <c:v>6.1100000000000002E-2</c:v>
                </c:pt>
                <c:pt idx="218">
                  <c:v>5.7000000000000002E-2</c:v>
                </c:pt>
                <c:pt idx="219">
                  <c:v>5.8299999999999998E-2</c:v>
                </c:pt>
                <c:pt idx="220">
                  <c:v>6.3899999999999998E-2</c:v>
                </c:pt>
                <c:pt idx="221">
                  <c:v>6.5199999999999994E-2</c:v>
                </c:pt>
                <c:pt idx="222">
                  <c:v>6.7299999999999999E-2</c:v>
                </c:pt>
                <c:pt idx="223">
                  <c:v>6.5799999999999997E-2</c:v>
                </c:pt>
                <c:pt idx="224">
                  <c:v>6.1399999999999996E-2</c:v>
                </c:pt>
                <c:pt idx="225">
                  <c:v>5.9299999999999999E-2</c:v>
                </c:pt>
                <c:pt idx="226">
                  <c:v>5.8099999999999999E-2</c:v>
                </c:pt>
                <c:pt idx="227">
                  <c:v>5.9299999999999999E-2</c:v>
                </c:pt>
                <c:pt idx="228">
                  <c:v>5.9500000000000004E-2</c:v>
                </c:pt>
                <c:pt idx="229">
                  <c:v>6.08E-2</c:v>
                </c:pt>
                <c:pt idx="230">
                  <c:v>6.0700000000000004E-2</c:v>
                </c:pt>
                <c:pt idx="231">
                  <c:v>6.1900000000000004E-2</c:v>
                </c:pt>
                <c:pt idx="232">
                  <c:v>6.13E-2</c:v>
                </c:pt>
                <c:pt idx="233">
                  <c:v>6.1100000000000002E-2</c:v>
                </c:pt>
                <c:pt idx="234">
                  <c:v>6.1100000000000002E-2</c:v>
                </c:pt>
                <c:pt idx="235">
                  <c:v>6.2100000000000002E-2</c:v>
                </c:pt>
                <c:pt idx="236">
                  <c:v>6.5500000000000003E-2</c:v>
                </c:pt>
                <c:pt idx="237">
                  <c:v>6.480000000000001E-2</c:v>
                </c:pt>
                <c:pt idx="238">
                  <c:v>6.2800000000000009E-2</c:v>
                </c:pt>
                <c:pt idx="239">
                  <c:v>6.3600000000000004E-2</c:v>
                </c:pt>
                <c:pt idx="240">
                  <c:v>6.4600000000000005E-2</c:v>
                </c:pt>
                <c:pt idx="241">
                  <c:v>6.6400000000000001E-2</c:v>
                </c:pt>
                <c:pt idx="242">
                  <c:v>6.7099999999999993E-2</c:v>
                </c:pt>
                <c:pt idx="243">
                  <c:v>6.6699999999999995E-2</c:v>
                </c:pt>
                <c:pt idx="244">
                  <c:v>6.8499999999999991E-2</c:v>
                </c:pt>
                <c:pt idx="245">
                  <c:v>6.9000000000000006E-2</c:v>
                </c:pt>
                <c:pt idx="246">
                  <c:v>7.1300000000000002E-2</c:v>
                </c:pt>
                <c:pt idx="247">
                  <c:v>7.400000000000001E-2</c:v>
                </c:pt>
                <c:pt idx="248">
                  <c:v>7.0900000000000005E-2</c:v>
                </c:pt>
                <c:pt idx="249">
                  <c:v>6.7900000000000002E-2</c:v>
                </c:pt>
                <c:pt idx="250">
                  <c:v>6.7299999999999999E-2</c:v>
                </c:pt>
                <c:pt idx="251">
                  <c:v>6.7400000000000002E-2</c:v>
                </c:pt>
                <c:pt idx="252">
                  <c:v>6.9900000000000004E-2</c:v>
                </c:pt>
                <c:pt idx="253">
                  <c:v>6.9599999999999995E-2</c:v>
                </c:pt>
                <c:pt idx="254">
                  <c:v>7.2099999999999997E-2</c:v>
                </c:pt>
                <c:pt idx="255">
                  <c:v>7.51E-2</c:v>
                </c:pt>
                <c:pt idx="256">
                  <c:v>7.5800000000000006E-2</c:v>
                </c:pt>
                <c:pt idx="257">
                  <c:v>7.5399999999999995E-2</c:v>
                </c:pt>
                <c:pt idx="258">
                  <c:v>7.8100000000000003E-2</c:v>
                </c:pt>
                <c:pt idx="259">
                  <c:v>8.0399999999999985E-2</c:v>
                </c:pt>
                <c:pt idx="260">
                  <c:v>8.0399999999999985E-2</c:v>
                </c:pt>
                <c:pt idx="261">
                  <c:v>7.9000000000000001E-2</c:v>
                </c:pt>
                <c:pt idx="262">
                  <c:v>7.6799999999999993E-2</c:v>
                </c:pt>
                <c:pt idx="263">
                  <c:v>7.4299999999999991E-2</c:v>
                </c:pt>
                <c:pt idx="264">
                  <c:v>7.4999999999999997E-2</c:v>
                </c:pt>
                <c:pt idx="265">
                  <c:v>7.3899999999999993E-2</c:v>
                </c:pt>
                <c:pt idx="266">
                  <c:v>7.7300000000000008E-2</c:v>
                </c:pt>
                <c:pt idx="267">
                  <c:v>8.2299999999999998E-2</c:v>
                </c:pt>
                <c:pt idx="268">
                  <c:v>8.0600000000000005E-2</c:v>
                </c:pt>
                <c:pt idx="269">
                  <c:v>7.8600000000000003E-2</c:v>
                </c:pt>
                <c:pt idx="270">
                  <c:v>8.0600000000000005E-2</c:v>
                </c:pt>
                <c:pt idx="271">
                  <c:v>8.4000000000000005E-2</c:v>
                </c:pt>
                <c:pt idx="272">
                  <c:v>8.43E-2</c:v>
                </c:pt>
                <c:pt idx="273">
                  <c:v>8.14E-2</c:v>
                </c:pt>
                <c:pt idx="274">
                  <c:v>8.0500000000000002E-2</c:v>
                </c:pt>
                <c:pt idx="275">
                  <c:v>0.08</c:v>
                </c:pt>
                <c:pt idx="276">
                  <c:v>7.7399999999999997E-2</c:v>
                </c:pt>
                <c:pt idx="277">
                  <c:v>7.7899999999999997E-2</c:v>
                </c:pt>
                <c:pt idx="278">
                  <c:v>7.7300000000000008E-2</c:v>
                </c:pt>
                <c:pt idx="279">
                  <c:v>7.5600000000000001E-2</c:v>
                </c:pt>
                <c:pt idx="280">
                  <c:v>7.9000000000000001E-2</c:v>
                </c:pt>
                <c:pt idx="281">
                  <c:v>7.8600000000000003E-2</c:v>
                </c:pt>
                <c:pt idx="282">
                  <c:v>7.8299999999999995E-2</c:v>
                </c:pt>
                <c:pt idx="283">
                  <c:v>7.7699999999999991E-2</c:v>
                </c:pt>
                <c:pt idx="284">
                  <c:v>7.5899999999999995E-2</c:v>
                </c:pt>
                <c:pt idx="285">
                  <c:v>7.4099999999999999E-2</c:v>
                </c:pt>
                <c:pt idx="286">
                  <c:v>7.2900000000000006E-2</c:v>
                </c:pt>
                <c:pt idx="287">
                  <c:v>6.8699999999999997E-2</c:v>
                </c:pt>
                <c:pt idx="288">
                  <c:v>7.2099999999999997E-2</c:v>
                </c:pt>
                <c:pt idx="289">
                  <c:v>7.3899999999999993E-2</c:v>
                </c:pt>
                <c:pt idx="290">
                  <c:v>7.46E-2</c:v>
                </c:pt>
                <c:pt idx="291">
                  <c:v>7.3700000000000002E-2</c:v>
                </c:pt>
                <c:pt idx="292">
                  <c:v>7.46E-2</c:v>
                </c:pt>
                <c:pt idx="293">
                  <c:v>7.2800000000000004E-2</c:v>
                </c:pt>
                <c:pt idx="294">
                  <c:v>7.3300000000000004E-2</c:v>
                </c:pt>
                <c:pt idx="295">
                  <c:v>7.400000000000001E-2</c:v>
                </c:pt>
                <c:pt idx="296">
                  <c:v>7.3399999999999993E-2</c:v>
                </c:pt>
                <c:pt idx="297">
                  <c:v>7.5199999999999989E-2</c:v>
                </c:pt>
                <c:pt idx="298">
                  <c:v>7.5800000000000006E-2</c:v>
                </c:pt>
                <c:pt idx="299">
                  <c:v>7.690000000000001E-2</c:v>
                </c:pt>
                <c:pt idx="300">
                  <c:v>7.9600000000000004E-2</c:v>
                </c:pt>
                <c:pt idx="301">
                  <c:v>8.0299999999999996E-2</c:v>
                </c:pt>
                <c:pt idx="302">
                  <c:v>8.0399999999999985E-2</c:v>
                </c:pt>
                <c:pt idx="303">
                  <c:v>8.1500000000000003E-2</c:v>
                </c:pt>
                <c:pt idx="304">
                  <c:v>8.3499999999999991E-2</c:v>
                </c:pt>
                <c:pt idx="305">
                  <c:v>8.4600000000000009E-2</c:v>
                </c:pt>
                <c:pt idx="306">
                  <c:v>8.6400000000000005E-2</c:v>
                </c:pt>
                <c:pt idx="307">
                  <c:v>8.4100000000000008E-2</c:v>
                </c:pt>
                <c:pt idx="308">
                  <c:v>8.4199999999999997E-2</c:v>
                </c:pt>
                <c:pt idx="309">
                  <c:v>8.6400000000000005E-2</c:v>
                </c:pt>
                <c:pt idx="310">
                  <c:v>8.8100000000000012E-2</c:v>
                </c:pt>
                <c:pt idx="311">
                  <c:v>9.01E-2</c:v>
                </c:pt>
                <c:pt idx="312">
                  <c:v>9.0999999999999998E-2</c:v>
                </c:pt>
                <c:pt idx="313">
                  <c:v>9.0999999999999998E-2</c:v>
                </c:pt>
                <c:pt idx="314">
                  <c:v>9.1199999999999989E-2</c:v>
                </c:pt>
                <c:pt idx="315">
                  <c:v>9.1799999999999993E-2</c:v>
                </c:pt>
                <c:pt idx="316">
                  <c:v>9.2499999999999999E-2</c:v>
                </c:pt>
                <c:pt idx="317">
                  <c:v>8.9099999999999999E-2</c:v>
                </c:pt>
                <c:pt idx="318">
                  <c:v>8.9499999999999996E-2</c:v>
                </c:pt>
                <c:pt idx="319">
                  <c:v>9.0299999999999991E-2</c:v>
                </c:pt>
                <c:pt idx="320">
                  <c:v>9.3299999999999994E-2</c:v>
                </c:pt>
                <c:pt idx="321">
                  <c:v>0.10300000000000001</c:v>
                </c:pt>
                <c:pt idx="322">
                  <c:v>0.1065</c:v>
                </c:pt>
                <c:pt idx="323">
                  <c:v>0.10390000000000001</c:v>
                </c:pt>
                <c:pt idx="324">
                  <c:v>0.10800000000000001</c:v>
                </c:pt>
                <c:pt idx="325">
                  <c:v>0.1241</c:v>
                </c:pt>
                <c:pt idx="326">
                  <c:v>0.1275</c:v>
                </c:pt>
                <c:pt idx="327">
                  <c:v>0.11470000000000001</c:v>
                </c:pt>
                <c:pt idx="328">
                  <c:v>0.1018</c:v>
                </c:pt>
                <c:pt idx="329">
                  <c:v>9.7799999999999998E-2</c:v>
                </c:pt>
                <c:pt idx="330">
                  <c:v>0.10249999999999999</c:v>
                </c:pt>
                <c:pt idx="331">
                  <c:v>0.111</c:v>
                </c:pt>
                <c:pt idx="332">
                  <c:v>0.11509999999999999</c:v>
                </c:pt>
                <c:pt idx="333">
                  <c:v>0.11749999999999999</c:v>
                </c:pt>
                <c:pt idx="334">
                  <c:v>0.1268</c:v>
                </c:pt>
                <c:pt idx="335">
                  <c:v>0.12839999999999999</c:v>
                </c:pt>
                <c:pt idx="336">
                  <c:v>0.12570000000000001</c:v>
                </c:pt>
                <c:pt idx="337">
                  <c:v>0.13189999999999999</c:v>
                </c:pt>
                <c:pt idx="338">
                  <c:v>0.13119999999999998</c:v>
                </c:pt>
                <c:pt idx="339">
                  <c:v>0.1368</c:v>
                </c:pt>
                <c:pt idx="340">
                  <c:v>0.14099999999999999</c:v>
                </c:pt>
                <c:pt idx="341">
                  <c:v>0.13470000000000001</c:v>
                </c:pt>
                <c:pt idx="342">
                  <c:v>0.14279999999999998</c:v>
                </c:pt>
                <c:pt idx="343">
                  <c:v>0.14940000000000001</c:v>
                </c:pt>
                <c:pt idx="344">
                  <c:v>0.1532</c:v>
                </c:pt>
                <c:pt idx="345">
                  <c:v>0.1515</c:v>
                </c:pt>
                <c:pt idx="346">
                  <c:v>0.13390000000000002</c:v>
                </c:pt>
                <c:pt idx="347">
                  <c:v>0.13720000000000002</c:v>
                </c:pt>
                <c:pt idx="348">
                  <c:v>0.1459</c:v>
                </c:pt>
                <c:pt idx="349">
                  <c:v>0.14429999999999998</c:v>
                </c:pt>
                <c:pt idx="350">
                  <c:v>0.1386</c:v>
                </c:pt>
                <c:pt idx="351">
                  <c:v>0.13869999999999999</c:v>
                </c:pt>
                <c:pt idx="352">
                  <c:v>0.13619999999999999</c:v>
                </c:pt>
                <c:pt idx="353">
                  <c:v>0.14300000000000002</c:v>
                </c:pt>
                <c:pt idx="354">
                  <c:v>0.13949999999999999</c:v>
                </c:pt>
                <c:pt idx="355">
                  <c:v>0.13059999999999999</c:v>
                </c:pt>
                <c:pt idx="356">
                  <c:v>0.1234</c:v>
                </c:pt>
                <c:pt idx="357">
                  <c:v>0.1091</c:v>
                </c:pt>
                <c:pt idx="358">
                  <c:v>0.10550000000000001</c:v>
                </c:pt>
                <c:pt idx="359">
                  <c:v>0.10539999999999999</c:v>
                </c:pt>
                <c:pt idx="360">
                  <c:v>0.10460000000000001</c:v>
                </c:pt>
                <c:pt idx="361">
                  <c:v>0.1072</c:v>
                </c:pt>
                <c:pt idx="362">
                  <c:v>0.1051</c:v>
                </c:pt>
                <c:pt idx="363">
                  <c:v>0.10400000000000001</c:v>
                </c:pt>
                <c:pt idx="364">
                  <c:v>0.1038</c:v>
                </c:pt>
                <c:pt idx="365">
                  <c:v>0.1085</c:v>
                </c:pt>
                <c:pt idx="366">
                  <c:v>0.11380000000000001</c:v>
                </c:pt>
                <c:pt idx="367">
                  <c:v>0.11849999999999999</c:v>
                </c:pt>
                <c:pt idx="368">
                  <c:v>0.11650000000000001</c:v>
                </c:pt>
                <c:pt idx="369">
                  <c:v>0.11539999999999999</c:v>
                </c:pt>
                <c:pt idx="370">
                  <c:v>0.11689999999999999</c:v>
                </c:pt>
                <c:pt idx="371">
                  <c:v>0.1183</c:v>
                </c:pt>
                <c:pt idx="372">
                  <c:v>0.1167</c:v>
                </c:pt>
                <c:pt idx="373">
                  <c:v>0.11840000000000001</c:v>
                </c:pt>
                <c:pt idx="374">
                  <c:v>0.1232</c:v>
                </c:pt>
                <c:pt idx="375">
                  <c:v>0.1263</c:v>
                </c:pt>
                <c:pt idx="376">
                  <c:v>0.1341</c:v>
                </c:pt>
                <c:pt idx="377">
                  <c:v>0.1356</c:v>
                </c:pt>
                <c:pt idx="378">
                  <c:v>0.1336</c:v>
                </c:pt>
                <c:pt idx="379">
                  <c:v>0.12720000000000001</c:v>
                </c:pt>
                <c:pt idx="380">
                  <c:v>0.12520000000000001</c:v>
                </c:pt>
                <c:pt idx="381">
                  <c:v>0.1216</c:v>
                </c:pt>
                <c:pt idx="382">
                  <c:v>0.1157</c:v>
                </c:pt>
                <c:pt idx="383">
                  <c:v>0.115</c:v>
                </c:pt>
                <c:pt idx="384">
                  <c:v>0.11380000000000001</c:v>
                </c:pt>
                <c:pt idx="385">
                  <c:v>0.11509999999999999</c:v>
                </c:pt>
                <c:pt idx="386">
                  <c:v>0.1186</c:v>
                </c:pt>
                <c:pt idx="387">
                  <c:v>0.1143</c:v>
                </c:pt>
                <c:pt idx="388">
                  <c:v>0.1085</c:v>
                </c:pt>
                <c:pt idx="389">
                  <c:v>0.1016</c:v>
                </c:pt>
                <c:pt idx="390">
                  <c:v>0.10310000000000001</c:v>
                </c:pt>
                <c:pt idx="391">
                  <c:v>0.1033</c:v>
                </c:pt>
                <c:pt idx="392">
                  <c:v>0.10369999999999999</c:v>
                </c:pt>
                <c:pt idx="393">
                  <c:v>0.1024</c:v>
                </c:pt>
                <c:pt idx="394">
                  <c:v>9.7799999999999998E-2</c:v>
                </c:pt>
                <c:pt idx="395">
                  <c:v>9.2600000000000002E-2</c:v>
                </c:pt>
                <c:pt idx="396">
                  <c:v>9.1899999999999996E-2</c:v>
                </c:pt>
                <c:pt idx="397">
                  <c:v>8.6999999999999994E-2</c:v>
                </c:pt>
                <c:pt idx="398">
                  <c:v>7.7800000000000008E-2</c:v>
                </c:pt>
                <c:pt idx="399">
                  <c:v>7.2999999999999995E-2</c:v>
                </c:pt>
                <c:pt idx="400">
                  <c:v>7.7100000000000002E-2</c:v>
                </c:pt>
                <c:pt idx="401">
                  <c:v>7.8E-2</c:v>
                </c:pt>
                <c:pt idx="402">
                  <c:v>7.2999999999999995E-2</c:v>
                </c:pt>
                <c:pt idx="403">
                  <c:v>7.17E-2</c:v>
                </c:pt>
                <c:pt idx="404">
                  <c:v>7.4499999999999997E-2</c:v>
                </c:pt>
                <c:pt idx="405">
                  <c:v>7.4299999999999991E-2</c:v>
                </c:pt>
                <c:pt idx="406">
                  <c:v>7.2499999999999995E-2</c:v>
                </c:pt>
                <c:pt idx="407">
                  <c:v>7.1099999999999997E-2</c:v>
                </c:pt>
                <c:pt idx="408">
                  <c:v>7.0800000000000002E-2</c:v>
                </c:pt>
                <c:pt idx="409">
                  <c:v>7.2499999999999995E-2</c:v>
                </c:pt>
                <c:pt idx="410">
                  <c:v>7.2499999999999995E-2</c:v>
                </c:pt>
                <c:pt idx="411">
                  <c:v>8.0199999999999994E-2</c:v>
                </c:pt>
                <c:pt idx="412">
                  <c:v>8.6099999999999996E-2</c:v>
                </c:pt>
                <c:pt idx="413">
                  <c:v>8.4000000000000005E-2</c:v>
                </c:pt>
                <c:pt idx="414">
                  <c:v>8.4499999999999992E-2</c:v>
                </c:pt>
                <c:pt idx="415">
                  <c:v>8.7599999999999997E-2</c:v>
                </c:pt>
                <c:pt idx="416">
                  <c:v>9.4200000000000006E-2</c:v>
                </c:pt>
                <c:pt idx="417">
                  <c:v>9.5199999999999993E-2</c:v>
                </c:pt>
                <c:pt idx="418">
                  <c:v>8.8599999999999998E-2</c:v>
                </c:pt>
                <c:pt idx="419">
                  <c:v>8.9900000000000008E-2</c:v>
                </c:pt>
                <c:pt idx="420">
                  <c:v>8.6699999999999999E-2</c:v>
                </c:pt>
                <c:pt idx="421">
                  <c:v>8.2100000000000006E-2</c:v>
                </c:pt>
                <c:pt idx="422">
                  <c:v>8.3699999999999997E-2</c:v>
                </c:pt>
                <c:pt idx="423">
                  <c:v>8.72E-2</c:v>
                </c:pt>
                <c:pt idx="424">
                  <c:v>9.0899999999999995E-2</c:v>
                </c:pt>
                <c:pt idx="425">
                  <c:v>8.9200000000000002E-2</c:v>
                </c:pt>
                <c:pt idx="426">
                  <c:v>9.06E-2</c:v>
                </c:pt>
                <c:pt idx="427">
                  <c:v>9.2600000000000002E-2</c:v>
                </c:pt>
                <c:pt idx="428">
                  <c:v>8.9800000000000005E-2</c:v>
                </c:pt>
                <c:pt idx="429">
                  <c:v>8.8000000000000009E-2</c:v>
                </c:pt>
                <c:pt idx="430">
                  <c:v>8.9600000000000013E-2</c:v>
                </c:pt>
                <c:pt idx="431">
                  <c:v>9.11E-2</c:v>
                </c:pt>
                <c:pt idx="432">
                  <c:v>9.0899999999999995E-2</c:v>
                </c:pt>
                <c:pt idx="433">
                  <c:v>9.1700000000000004E-2</c:v>
                </c:pt>
                <c:pt idx="434">
                  <c:v>9.3599999999999989E-2</c:v>
                </c:pt>
                <c:pt idx="435">
                  <c:v>9.1799999999999993E-2</c:v>
                </c:pt>
                <c:pt idx="436">
                  <c:v>8.8599999999999998E-2</c:v>
                </c:pt>
                <c:pt idx="437">
                  <c:v>8.2799999999999999E-2</c:v>
                </c:pt>
                <c:pt idx="438">
                  <c:v>8.0199999999999994E-2</c:v>
                </c:pt>
                <c:pt idx="439">
                  <c:v>8.1099999999999992E-2</c:v>
                </c:pt>
                <c:pt idx="440">
                  <c:v>8.1900000000000001E-2</c:v>
                </c:pt>
                <c:pt idx="441">
                  <c:v>8.0100000000000005E-2</c:v>
                </c:pt>
                <c:pt idx="442">
                  <c:v>7.8700000000000006E-2</c:v>
                </c:pt>
                <c:pt idx="443">
                  <c:v>7.8399999999999997E-2</c:v>
                </c:pt>
                <c:pt idx="444">
                  <c:v>8.2100000000000006E-2</c:v>
                </c:pt>
                <c:pt idx="445">
                  <c:v>8.4700000000000011E-2</c:v>
                </c:pt>
                <c:pt idx="446">
                  <c:v>8.5900000000000004E-2</c:v>
                </c:pt>
                <c:pt idx="447">
                  <c:v>8.7899999999999992E-2</c:v>
                </c:pt>
                <c:pt idx="448">
                  <c:v>8.7599999999999997E-2</c:v>
                </c:pt>
                <c:pt idx="449">
                  <c:v>8.48E-2</c:v>
                </c:pt>
                <c:pt idx="450">
                  <c:v>8.4700000000000011E-2</c:v>
                </c:pt>
                <c:pt idx="451">
                  <c:v>8.7499999999999994E-2</c:v>
                </c:pt>
                <c:pt idx="452">
                  <c:v>8.8900000000000007E-2</c:v>
                </c:pt>
                <c:pt idx="453">
                  <c:v>8.72E-2</c:v>
                </c:pt>
                <c:pt idx="454">
                  <c:v>8.3900000000000002E-2</c:v>
                </c:pt>
                <c:pt idx="455">
                  <c:v>8.0799999999999997E-2</c:v>
                </c:pt>
                <c:pt idx="456">
                  <c:v>8.09E-2</c:v>
                </c:pt>
                <c:pt idx="457">
                  <c:v>7.85E-2</c:v>
                </c:pt>
                <c:pt idx="458">
                  <c:v>8.1099999999999992E-2</c:v>
                </c:pt>
                <c:pt idx="459">
                  <c:v>8.0399999999999985E-2</c:v>
                </c:pt>
                <c:pt idx="460">
                  <c:v>8.0700000000000008E-2</c:v>
                </c:pt>
                <c:pt idx="461">
                  <c:v>8.2799999999999999E-2</c:v>
                </c:pt>
                <c:pt idx="462">
                  <c:v>8.2699999999999996E-2</c:v>
                </c:pt>
                <c:pt idx="463">
                  <c:v>7.9000000000000001E-2</c:v>
                </c:pt>
                <c:pt idx="464">
                  <c:v>7.6499999999999999E-2</c:v>
                </c:pt>
                <c:pt idx="465">
                  <c:v>7.5300000000000006E-2</c:v>
                </c:pt>
                <c:pt idx="466">
                  <c:v>7.4200000000000002E-2</c:v>
                </c:pt>
                <c:pt idx="467">
                  <c:v>7.0900000000000005E-2</c:v>
                </c:pt>
                <c:pt idx="468">
                  <c:v>7.0300000000000001E-2</c:v>
                </c:pt>
                <c:pt idx="469">
                  <c:v>7.3399999999999993E-2</c:v>
                </c:pt>
                <c:pt idx="470">
                  <c:v>7.5399999999999995E-2</c:v>
                </c:pt>
                <c:pt idx="471">
                  <c:v>7.4800000000000005E-2</c:v>
                </c:pt>
                <c:pt idx="472">
                  <c:v>7.3899999999999993E-2</c:v>
                </c:pt>
                <c:pt idx="473">
                  <c:v>7.2599999999999998E-2</c:v>
                </c:pt>
                <c:pt idx="474">
                  <c:v>6.8400000000000002E-2</c:v>
                </c:pt>
                <c:pt idx="475">
                  <c:v>6.59E-2</c:v>
                </c:pt>
                <c:pt idx="476">
                  <c:v>6.4199999999999993E-2</c:v>
                </c:pt>
                <c:pt idx="477">
                  <c:v>6.59E-2</c:v>
                </c:pt>
                <c:pt idx="478">
                  <c:v>6.8699999999999997E-2</c:v>
                </c:pt>
                <c:pt idx="479">
                  <c:v>6.7699999999999996E-2</c:v>
                </c:pt>
                <c:pt idx="480">
                  <c:v>6.6000000000000003E-2</c:v>
                </c:pt>
                <c:pt idx="481">
                  <c:v>6.2600000000000003E-2</c:v>
                </c:pt>
                <c:pt idx="482">
                  <c:v>5.9800000000000006E-2</c:v>
                </c:pt>
                <c:pt idx="483">
                  <c:v>5.9699999999999996E-2</c:v>
                </c:pt>
                <c:pt idx="484">
                  <c:v>6.0400000000000002E-2</c:v>
                </c:pt>
                <c:pt idx="485">
                  <c:v>5.96E-2</c:v>
                </c:pt>
                <c:pt idx="486">
                  <c:v>5.8099999999999999E-2</c:v>
                </c:pt>
                <c:pt idx="487">
                  <c:v>5.6799999999999996E-2</c:v>
                </c:pt>
                <c:pt idx="488">
                  <c:v>5.3600000000000002E-2</c:v>
                </c:pt>
                <c:pt idx="489">
                  <c:v>5.33E-2</c:v>
                </c:pt>
                <c:pt idx="490">
                  <c:v>5.7200000000000001E-2</c:v>
                </c:pt>
                <c:pt idx="491">
                  <c:v>5.7699999999999994E-2</c:v>
                </c:pt>
                <c:pt idx="492">
                  <c:v>5.7500000000000002E-2</c:v>
                </c:pt>
                <c:pt idx="493">
                  <c:v>5.9699999999999996E-2</c:v>
                </c:pt>
                <c:pt idx="494">
                  <c:v>6.480000000000001E-2</c:v>
                </c:pt>
                <c:pt idx="495">
                  <c:v>6.9699999999999998E-2</c:v>
                </c:pt>
                <c:pt idx="496">
                  <c:v>7.1800000000000003E-2</c:v>
                </c:pt>
                <c:pt idx="497">
                  <c:v>7.0999999999999994E-2</c:v>
                </c:pt>
                <c:pt idx="498">
                  <c:v>7.2999999999999995E-2</c:v>
                </c:pt>
                <c:pt idx="499">
                  <c:v>7.2400000000000006E-2</c:v>
                </c:pt>
                <c:pt idx="500">
                  <c:v>7.46E-2</c:v>
                </c:pt>
                <c:pt idx="501">
                  <c:v>7.7399999999999997E-2</c:v>
                </c:pt>
                <c:pt idx="502">
                  <c:v>7.9600000000000004E-2</c:v>
                </c:pt>
                <c:pt idx="503">
                  <c:v>7.8100000000000003E-2</c:v>
                </c:pt>
                <c:pt idx="504">
                  <c:v>7.7800000000000008E-2</c:v>
                </c:pt>
                <c:pt idx="505">
                  <c:v>7.4700000000000003E-2</c:v>
                </c:pt>
                <c:pt idx="506">
                  <c:v>7.2000000000000008E-2</c:v>
                </c:pt>
                <c:pt idx="507">
                  <c:v>7.0599999999999996E-2</c:v>
                </c:pt>
                <c:pt idx="508">
                  <c:v>6.6299999999999998E-2</c:v>
                </c:pt>
                <c:pt idx="509">
                  <c:v>6.1699999999999998E-2</c:v>
                </c:pt>
                <c:pt idx="510">
                  <c:v>6.2800000000000009E-2</c:v>
                </c:pt>
                <c:pt idx="511">
                  <c:v>6.4899999999999999E-2</c:v>
                </c:pt>
                <c:pt idx="512">
                  <c:v>6.2E-2</c:v>
                </c:pt>
                <c:pt idx="513">
                  <c:v>6.0400000000000002E-2</c:v>
                </c:pt>
                <c:pt idx="514">
                  <c:v>5.9299999999999999E-2</c:v>
                </c:pt>
                <c:pt idx="515">
                  <c:v>5.7099999999999998E-2</c:v>
                </c:pt>
                <c:pt idx="516">
                  <c:v>5.6500000000000002E-2</c:v>
                </c:pt>
                <c:pt idx="517">
                  <c:v>5.8099999999999999E-2</c:v>
                </c:pt>
                <c:pt idx="518">
                  <c:v>6.2699999999999992E-2</c:v>
                </c:pt>
                <c:pt idx="519">
                  <c:v>6.5099999999999991E-2</c:v>
                </c:pt>
                <c:pt idx="520">
                  <c:v>6.7400000000000002E-2</c:v>
                </c:pt>
                <c:pt idx="521">
                  <c:v>6.9099999999999995E-2</c:v>
                </c:pt>
                <c:pt idx="522">
                  <c:v>6.8699999999999997E-2</c:v>
                </c:pt>
                <c:pt idx="523">
                  <c:v>6.6400000000000001E-2</c:v>
                </c:pt>
                <c:pt idx="524">
                  <c:v>6.83E-2</c:v>
                </c:pt>
                <c:pt idx="525">
                  <c:v>6.5299999999999997E-2</c:v>
                </c:pt>
                <c:pt idx="526">
                  <c:v>6.2E-2</c:v>
                </c:pt>
                <c:pt idx="527">
                  <c:v>6.3E-2</c:v>
                </c:pt>
                <c:pt idx="528">
                  <c:v>6.5799999999999997E-2</c:v>
                </c:pt>
                <c:pt idx="529">
                  <c:v>6.4199999999999993E-2</c:v>
                </c:pt>
                <c:pt idx="530">
                  <c:v>6.6900000000000001E-2</c:v>
                </c:pt>
                <c:pt idx="531">
                  <c:v>6.8900000000000003E-2</c:v>
                </c:pt>
                <c:pt idx="532">
                  <c:v>6.7099999999999993E-2</c:v>
                </c:pt>
                <c:pt idx="533">
                  <c:v>6.4899999999999999E-2</c:v>
                </c:pt>
                <c:pt idx="534">
                  <c:v>6.2199999999999998E-2</c:v>
                </c:pt>
                <c:pt idx="535">
                  <c:v>6.3E-2</c:v>
                </c:pt>
                <c:pt idx="536">
                  <c:v>6.2100000000000002E-2</c:v>
                </c:pt>
                <c:pt idx="537">
                  <c:v>6.0299999999999999E-2</c:v>
                </c:pt>
                <c:pt idx="538">
                  <c:v>5.8799999999999998E-2</c:v>
                </c:pt>
                <c:pt idx="539">
                  <c:v>5.8099999999999999E-2</c:v>
                </c:pt>
                <c:pt idx="540">
                  <c:v>5.5399999999999998E-2</c:v>
                </c:pt>
                <c:pt idx="541">
                  <c:v>5.57E-2</c:v>
                </c:pt>
                <c:pt idx="542">
                  <c:v>5.6500000000000002E-2</c:v>
                </c:pt>
                <c:pt idx="543">
                  <c:v>5.6399999999999999E-2</c:v>
                </c:pt>
                <c:pt idx="544">
                  <c:v>5.6500000000000002E-2</c:v>
                </c:pt>
                <c:pt idx="545">
                  <c:v>5.5E-2</c:v>
                </c:pt>
                <c:pt idx="546">
                  <c:v>5.4600000000000003E-2</c:v>
                </c:pt>
                <c:pt idx="547">
                  <c:v>5.3399999999999996E-2</c:v>
                </c:pt>
                <c:pt idx="548">
                  <c:v>4.8099999999999997E-2</c:v>
                </c:pt>
                <c:pt idx="549">
                  <c:v>4.53E-2</c:v>
                </c:pt>
                <c:pt idx="550">
                  <c:v>4.8300000000000003E-2</c:v>
                </c:pt>
                <c:pt idx="551">
                  <c:v>4.6500000000000007E-2</c:v>
                </c:pt>
                <c:pt idx="552">
                  <c:v>4.7199999999999999E-2</c:v>
                </c:pt>
                <c:pt idx="553">
                  <c:v>0.05</c:v>
                </c:pt>
                <c:pt idx="554">
                  <c:v>5.2300000000000006E-2</c:v>
                </c:pt>
                <c:pt idx="555">
                  <c:v>5.1799999999999999E-2</c:v>
                </c:pt>
                <c:pt idx="556">
                  <c:v>5.5399999999999998E-2</c:v>
                </c:pt>
                <c:pt idx="557">
                  <c:v>5.9000000000000004E-2</c:v>
                </c:pt>
                <c:pt idx="558">
                  <c:v>5.79E-2</c:v>
                </c:pt>
                <c:pt idx="559">
                  <c:v>5.9400000000000001E-2</c:v>
                </c:pt>
                <c:pt idx="560">
                  <c:v>5.9200000000000003E-2</c:v>
                </c:pt>
                <c:pt idx="561">
                  <c:v>6.1100000000000002E-2</c:v>
                </c:pt>
                <c:pt idx="562">
                  <c:v>6.0299999999999999E-2</c:v>
                </c:pt>
                <c:pt idx="563">
                  <c:v>6.2800000000000009E-2</c:v>
                </c:pt>
                <c:pt idx="564">
                  <c:v>6.6600000000000006E-2</c:v>
                </c:pt>
                <c:pt idx="565">
                  <c:v>6.5199999999999994E-2</c:v>
                </c:pt>
                <c:pt idx="566">
                  <c:v>6.2600000000000003E-2</c:v>
                </c:pt>
                <c:pt idx="567">
                  <c:v>5.9900000000000002E-2</c:v>
                </c:pt>
                <c:pt idx="568">
                  <c:v>6.4399999999999999E-2</c:v>
                </c:pt>
                <c:pt idx="569">
                  <c:v>6.0999999999999999E-2</c:v>
                </c:pt>
                <c:pt idx="570">
                  <c:v>6.0499999999999998E-2</c:v>
                </c:pt>
                <c:pt idx="571">
                  <c:v>5.8299999999999998E-2</c:v>
                </c:pt>
                <c:pt idx="572">
                  <c:v>5.7999999999999996E-2</c:v>
                </c:pt>
                <c:pt idx="573">
                  <c:v>5.74E-2</c:v>
                </c:pt>
                <c:pt idx="574">
                  <c:v>5.7200000000000001E-2</c:v>
                </c:pt>
                <c:pt idx="575">
                  <c:v>5.2400000000000002E-2</c:v>
                </c:pt>
                <c:pt idx="576">
                  <c:v>5.16E-2</c:v>
                </c:pt>
                <c:pt idx="577">
                  <c:v>5.0999999999999997E-2</c:v>
                </c:pt>
                <c:pt idx="578">
                  <c:v>4.8899999999999999E-2</c:v>
                </c:pt>
                <c:pt idx="579">
                  <c:v>5.1399999999999994E-2</c:v>
                </c:pt>
                <c:pt idx="580">
                  <c:v>5.3899999999999997E-2</c:v>
                </c:pt>
                <c:pt idx="581">
                  <c:v>5.28E-2</c:v>
                </c:pt>
                <c:pt idx="582">
                  <c:v>5.2400000000000002E-2</c:v>
                </c:pt>
                <c:pt idx="583">
                  <c:v>4.9699999999999994E-2</c:v>
                </c:pt>
                <c:pt idx="584">
                  <c:v>4.7300000000000002E-2</c:v>
                </c:pt>
                <c:pt idx="585">
                  <c:v>4.5700000000000005E-2</c:v>
                </c:pt>
                <c:pt idx="586">
                  <c:v>4.6500000000000007E-2</c:v>
                </c:pt>
                <c:pt idx="587">
                  <c:v>5.0900000000000001E-2</c:v>
                </c:pt>
                <c:pt idx="588">
                  <c:v>5.04E-2</c:v>
                </c:pt>
                <c:pt idx="589">
                  <c:v>4.9100000000000005E-2</c:v>
                </c:pt>
                <c:pt idx="590">
                  <c:v>5.28E-2</c:v>
                </c:pt>
                <c:pt idx="591">
                  <c:v>5.21E-2</c:v>
                </c:pt>
                <c:pt idx="592">
                  <c:v>5.16E-2</c:v>
                </c:pt>
                <c:pt idx="593">
                  <c:v>4.9299999999999997E-2</c:v>
                </c:pt>
                <c:pt idx="594">
                  <c:v>4.6500000000000007E-2</c:v>
                </c:pt>
                <c:pt idx="595">
                  <c:v>4.2599999999999999E-2</c:v>
                </c:pt>
                <c:pt idx="596">
                  <c:v>3.8699999999999998E-2</c:v>
                </c:pt>
                <c:pt idx="597">
                  <c:v>3.9399999999999998E-2</c:v>
                </c:pt>
                <c:pt idx="598">
                  <c:v>4.0500000000000001E-2</c:v>
                </c:pt>
                <c:pt idx="599">
                  <c:v>4.0300000000000002E-2</c:v>
                </c:pt>
                <c:pt idx="600">
                  <c:v>4.0500000000000001E-2</c:v>
                </c:pt>
                <c:pt idx="601">
                  <c:v>3.9E-2</c:v>
                </c:pt>
                <c:pt idx="602">
                  <c:v>3.8100000000000002E-2</c:v>
                </c:pt>
                <c:pt idx="603">
                  <c:v>3.9599999999999996E-2</c:v>
                </c:pt>
                <c:pt idx="604">
                  <c:v>3.5699999999999996E-2</c:v>
                </c:pt>
                <c:pt idx="605">
                  <c:v>3.3300000000000003E-2</c:v>
                </c:pt>
                <c:pt idx="606">
                  <c:v>3.9800000000000002E-2</c:v>
                </c:pt>
                <c:pt idx="607">
                  <c:v>4.4500000000000005E-2</c:v>
                </c:pt>
                <c:pt idx="608">
                  <c:v>4.2699999999999995E-2</c:v>
                </c:pt>
                <c:pt idx="609">
                  <c:v>4.2900000000000001E-2</c:v>
                </c:pt>
                <c:pt idx="610">
                  <c:v>4.2999999999999997E-2</c:v>
                </c:pt>
                <c:pt idx="611">
                  <c:v>4.2699999999999995E-2</c:v>
                </c:pt>
                <c:pt idx="612">
                  <c:v>4.1500000000000002E-2</c:v>
                </c:pt>
                <c:pt idx="613">
                  <c:v>4.0800000000000003E-2</c:v>
                </c:pt>
                <c:pt idx="614">
                  <c:v>3.8300000000000001E-2</c:v>
                </c:pt>
                <c:pt idx="615">
                  <c:v>4.3499999999999997E-2</c:v>
                </c:pt>
                <c:pt idx="616">
                  <c:v>4.7199999999999999E-2</c:v>
                </c:pt>
                <c:pt idx="617">
                  <c:v>4.7300000000000002E-2</c:v>
                </c:pt>
                <c:pt idx="618">
                  <c:v>4.4999999999999998E-2</c:v>
                </c:pt>
                <c:pt idx="619">
                  <c:v>4.2800000000000005E-2</c:v>
                </c:pt>
                <c:pt idx="620">
                  <c:v>4.1299999999999996E-2</c:v>
                </c:pt>
                <c:pt idx="621">
                  <c:v>4.0999999999999995E-2</c:v>
                </c:pt>
                <c:pt idx="622">
                  <c:v>4.1900000000000007E-2</c:v>
                </c:pt>
                <c:pt idx="623">
                  <c:v>4.2300000000000004E-2</c:v>
                </c:pt>
                <c:pt idx="624">
                  <c:v>4.2199999999999994E-2</c:v>
                </c:pt>
                <c:pt idx="625">
                  <c:v>4.1700000000000001E-2</c:v>
                </c:pt>
                <c:pt idx="626">
                  <c:v>4.4999999999999998E-2</c:v>
                </c:pt>
                <c:pt idx="627">
                  <c:v>4.3400000000000001E-2</c:v>
                </c:pt>
                <c:pt idx="628">
                  <c:v>4.1399999999999999E-2</c:v>
                </c:pt>
                <c:pt idx="629">
                  <c:v>0.04</c:v>
                </c:pt>
                <c:pt idx="630">
                  <c:v>4.1799999999999997E-2</c:v>
                </c:pt>
                <c:pt idx="631">
                  <c:v>4.2599999999999999E-2</c:v>
                </c:pt>
                <c:pt idx="632">
                  <c:v>4.2000000000000003E-2</c:v>
                </c:pt>
                <c:pt idx="633">
                  <c:v>4.4600000000000001E-2</c:v>
                </c:pt>
                <c:pt idx="634">
                  <c:v>4.5400000000000003E-2</c:v>
                </c:pt>
                <c:pt idx="635">
                  <c:v>4.4699999999999997E-2</c:v>
                </c:pt>
                <c:pt idx="636">
                  <c:v>4.4199999999999996E-2</c:v>
                </c:pt>
                <c:pt idx="637">
                  <c:v>4.5700000000000005E-2</c:v>
                </c:pt>
                <c:pt idx="638">
                  <c:v>4.7199999999999999E-2</c:v>
                </c:pt>
                <c:pt idx="639">
                  <c:v>4.99E-2</c:v>
                </c:pt>
                <c:pt idx="640">
                  <c:v>5.1100000000000007E-2</c:v>
                </c:pt>
                <c:pt idx="641">
                  <c:v>5.1100000000000007E-2</c:v>
                </c:pt>
                <c:pt idx="642">
                  <c:v>5.0900000000000001E-2</c:v>
                </c:pt>
                <c:pt idx="643">
                  <c:v>4.8799999999999996E-2</c:v>
                </c:pt>
                <c:pt idx="644">
                  <c:v>4.7199999999999999E-2</c:v>
                </c:pt>
                <c:pt idx="645">
                  <c:v>4.7300000000000002E-2</c:v>
                </c:pt>
                <c:pt idx="646">
                  <c:v>4.5999999999999999E-2</c:v>
                </c:pt>
                <c:pt idx="647">
                  <c:v>4.5599999999999995E-2</c:v>
                </c:pt>
                <c:pt idx="648">
                  <c:v>4.7599999999999996E-2</c:v>
                </c:pt>
                <c:pt idx="649">
                  <c:v>4.7199999999999999E-2</c:v>
                </c:pt>
                <c:pt idx="650">
                  <c:v>4.5599999999999995E-2</c:v>
                </c:pt>
                <c:pt idx="651">
                  <c:v>4.6900000000000004E-2</c:v>
                </c:pt>
                <c:pt idx="652">
                  <c:v>4.7500000000000001E-2</c:v>
                </c:pt>
                <c:pt idx="653">
                  <c:v>5.0999999999999997E-2</c:v>
                </c:pt>
                <c:pt idx="654">
                  <c:v>0.05</c:v>
                </c:pt>
                <c:pt idx="655">
                  <c:v>4.6699999999999998E-2</c:v>
                </c:pt>
                <c:pt idx="656">
                  <c:v>4.5199999999999997E-2</c:v>
                </c:pt>
                <c:pt idx="657">
                  <c:v>4.53E-2</c:v>
                </c:pt>
                <c:pt idx="658">
                  <c:v>4.1500000000000002E-2</c:v>
                </c:pt>
                <c:pt idx="659">
                  <c:v>4.0999999999999995E-2</c:v>
                </c:pt>
                <c:pt idx="660">
                  <c:v>3.7400000000000003E-2</c:v>
                </c:pt>
                <c:pt idx="661">
                  <c:v>3.7400000000000003E-2</c:v>
                </c:pt>
                <c:pt idx="662">
                  <c:v>3.5099999999999999E-2</c:v>
                </c:pt>
                <c:pt idx="663">
                  <c:v>3.6799999999999999E-2</c:v>
                </c:pt>
                <c:pt idx="664">
                  <c:v>3.8800000000000001E-2</c:v>
                </c:pt>
                <c:pt idx="665">
                  <c:v>4.0999999999999995E-2</c:v>
                </c:pt>
                <c:pt idx="666">
                  <c:v>4.0099999999999997E-2</c:v>
                </c:pt>
                <c:pt idx="667">
                  <c:v>3.8900000000000004E-2</c:v>
                </c:pt>
                <c:pt idx="668">
                  <c:v>3.6900000000000002E-2</c:v>
                </c:pt>
                <c:pt idx="669">
                  <c:v>3.8100000000000002E-2</c:v>
                </c:pt>
                <c:pt idx="670">
                  <c:v>3.5299999999999998E-2</c:v>
                </c:pt>
                <c:pt idx="671">
                  <c:v>2.4199999999999999E-2</c:v>
                </c:pt>
                <c:pt idx="672">
                  <c:v>2.52E-2</c:v>
                </c:pt>
                <c:pt idx="673">
                  <c:v>2.87E-2</c:v>
                </c:pt>
                <c:pt idx="674">
                  <c:v>2.8199999999999999E-2</c:v>
                </c:pt>
                <c:pt idx="675">
                  <c:v>2.9300000000000003E-2</c:v>
                </c:pt>
                <c:pt idx="676">
                  <c:v>3.2899999999999999E-2</c:v>
                </c:pt>
                <c:pt idx="677">
                  <c:v>3.7200000000000004E-2</c:v>
                </c:pt>
                <c:pt idx="678">
                  <c:v>3.56E-2</c:v>
                </c:pt>
                <c:pt idx="679">
                  <c:v>3.5900000000000001E-2</c:v>
                </c:pt>
                <c:pt idx="680">
                  <c:v>3.4000000000000002E-2</c:v>
                </c:pt>
                <c:pt idx="681">
                  <c:v>3.39E-2</c:v>
                </c:pt>
                <c:pt idx="682">
                  <c:v>3.4000000000000002E-2</c:v>
                </c:pt>
                <c:pt idx="683">
                  <c:v>3.5900000000000001E-2</c:v>
                </c:pt>
                <c:pt idx="684">
                  <c:v>3.73E-2</c:v>
                </c:pt>
                <c:pt idx="685">
                  <c:v>3.6900000000000002E-2</c:v>
                </c:pt>
                <c:pt idx="686">
                  <c:v>3.73E-2</c:v>
                </c:pt>
                <c:pt idx="687">
                  <c:v>3.85E-2</c:v>
                </c:pt>
                <c:pt idx="688">
                  <c:v>3.4200000000000001E-2</c:v>
                </c:pt>
                <c:pt idx="689">
                  <c:v>3.2000000000000001E-2</c:v>
                </c:pt>
                <c:pt idx="690">
                  <c:v>3.0099999999999998E-2</c:v>
                </c:pt>
                <c:pt idx="691">
                  <c:v>2.7000000000000003E-2</c:v>
                </c:pt>
                <c:pt idx="692">
                  <c:v>2.6499999999999999E-2</c:v>
                </c:pt>
                <c:pt idx="693">
                  <c:v>2.5399999999999999E-2</c:v>
                </c:pt>
                <c:pt idx="694">
                  <c:v>2.76E-2</c:v>
                </c:pt>
                <c:pt idx="695">
                  <c:v>3.2899999999999999E-2</c:v>
                </c:pt>
                <c:pt idx="696">
                  <c:v>3.39E-2</c:v>
                </c:pt>
                <c:pt idx="697">
                  <c:v>3.5799999999999998E-2</c:v>
                </c:pt>
                <c:pt idx="698">
                  <c:v>3.4099999999999998E-2</c:v>
                </c:pt>
                <c:pt idx="699">
                  <c:v>3.4599999999999999E-2</c:v>
                </c:pt>
                <c:pt idx="700">
                  <c:v>3.1699999999999999E-2</c:v>
                </c:pt>
                <c:pt idx="701">
                  <c:v>0.03</c:v>
                </c:pt>
                <c:pt idx="702">
                  <c:v>0.03</c:v>
                </c:pt>
                <c:pt idx="703">
                  <c:v>2.3E-2</c:v>
                </c:pt>
                <c:pt idx="704">
                  <c:v>1.9799999999999998E-2</c:v>
                </c:pt>
                <c:pt idx="705">
                  <c:v>2.1499999999999998E-2</c:v>
                </c:pt>
                <c:pt idx="706">
                  <c:v>2.0099999999999996E-2</c:v>
                </c:pt>
                <c:pt idx="707">
                  <c:v>1.9799999999999998E-2</c:v>
                </c:pt>
                <c:pt idx="708">
                  <c:v>1.9699999999999999E-2</c:v>
                </c:pt>
                <c:pt idx="709">
                  <c:v>1.9699999999999999E-2</c:v>
                </c:pt>
                <c:pt idx="710">
                  <c:v>2.1700000000000001E-2</c:v>
                </c:pt>
                <c:pt idx="711">
                  <c:v>2.0499999999999997E-2</c:v>
                </c:pt>
                <c:pt idx="712">
                  <c:v>1.8000000000000002E-2</c:v>
                </c:pt>
                <c:pt idx="713">
                  <c:v>1.6200000000000003E-2</c:v>
                </c:pt>
                <c:pt idx="714">
                  <c:v>1.5300000000000001E-2</c:v>
                </c:pt>
                <c:pt idx="715">
                  <c:v>1.6799999999999999E-2</c:v>
                </c:pt>
                <c:pt idx="716">
                  <c:v>1.72E-2</c:v>
                </c:pt>
                <c:pt idx="717">
                  <c:v>1.7500000000000002E-2</c:v>
                </c:pt>
                <c:pt idx="718">
                  <c:v>1.6500000000000001E-2</c:v>
                </c:pt>
                <c:pt idx="719">
                  <c:v>1.72E-2</c:v>
                </c:pt>
                <c:pt idx="720">
                  <c:v>1.9099999999999999E-2</c:v>
                </c:pt>
                <c:pt idx="721">
                  <c:v>1.9799999999999998E-2</c:v>
                </c:pt>
                <c:pt idx="722">
                  <c:v>1.9599999999999999E-2</c:v>
                </c:pt>
                <c:pt idx="723">
                  <c:v>1.7600000000000001E-2</c:v>
                </c:pt>
                <c:pt idx="724">
                  <c:v>1.9299999999999998E-2</c:v>
                </c:pt>
                <c:pt idx="725">
                  <c:v>2.3E-2</c:v>
                </c:pt>
                <c:pt idx="726">
                  <c:v>2.58E-2</c:v>
                </c:pt>
                <c:pt idx="727">
                  <c:v>2.7400000000000001E-2</c:v>
                </c:pt>
                <c:pt idx="728">
                  <c:v>2.81E-2</c:v>
                </c:pt>
                <c:pt idx="729">
                  <c:v>2.6200000000000001E-2</c:v>
                </c:pt>
                <c:pt idx="730">
                  <c:v>2.7200000000000002E-2</c:v>
                </c:pt>
                <c:pt idx="731">
                  <c:v>2.8999999999999998E-2</c:v>
                </c:pt>
                <c:pt idx="732">
                  <c:v>2.86E-2</c:v>
                </c:pt>
                <c:pt idx="733">
                  <c:v>2.7099999999999999E-2</c:v>
                </c:pt>
                <c:pt idx="734">
                  <c:v>2.7200000000000002E-2</c:v>
                </c:pt>
                <c:pt idx="735">
                  <c:v>2.7099999999999999E-2</c:v>
                </c:pt>
                <c:pt idx="736">
                  <c:v>2.5600000000000001E-2</c:v>
                </c:pt>
                <c:pt idx="737">
                  <c:v>2.6000000000000002E-2</c:v>
                </c:pt>
                <c:pt idx="738">
                  <c:v>2.5399999999999999E-2</c:v>
                </c:pt>
                <c:pt idx="739">
                  <c:v>2.4199999999999999E-2</c:v>
                </c:pt>
                <c:pt idx="740">
                  <c:v>2.53E-2</c:v>
                </c:pt>
                <c:pt idx="741">
                  <c:v>2.3E-2</c:v>
                </c:pt>
                <c:pt idx="742">
                  <c:v>2.3300000000000001E-2</c:v>
                </c:pt>
                <c:pt idx="743">
                  <c:v>2.2099999999999998E-2</c:v>
                </c:pt>
                <c:pt idx="744">
                  <c:v>1.8799999999999997E-2</c:v>
                </c:pt>
                <c:pt idx="745">
                  <c:v>1.9799999999999998E-2</c:v>
                </c:pt>
                <c:pt idx="746">
                  <c:v>2.0400000000000001E-2</c:v>
                </c:pt>
                <c:pt idx="747">
                  <c:v>1.9400000000000001E-2</c:v>
                </c:pt>
                <c:pt idx="748">
                  <c:v>2.2000000000000002E-2</c:v>
                </c:pt>
                <c:pt idx="749">
                  <c:v>2.3599999999999999E-2</c:v>
                </c:pt>
                <c:pt idx="750">
                  <c:v>2.3199999999999998E-2</c:v>
                </c:pt>
                <c:pt idx="751">
                  <c:v>2.1700000000000001E-2</c:v>
                </c:pt>
                <c:pt idx="752">
                  <c:v>2.1700000000000001E-2</c:v>
                </c:pt>
                <c:pt idx="753">
                  <c:v>2.07E-2</c:v>
                </c:pt>
                <c:pt idx="754">
                  <c:v>2.2599999999999999E-2</c:v>
                </c:pt>
                <c:pt idx="755">
                  <c:v>2.2400000000000003E-2</c:v>
                </c:pt>
                <c:pt idx="756">
                  <c:v>2.0899999999999998E-2</c:v>
                </c:pt>
                <c:pt idx="757">
                  <c:v>1.78E-2</c:v>
                </c:pt>
                <c:pt idx="758">
                  <c:v>1.89E-2</c:v>
                </c:pt>
                <c:pt idx="759">
                  <c:v>1.8100000000000002E-2</c:v>
                </c:pt>
                <c:pt idx="760">
                  <c:v>1.8100000000000002E-2</c:v>
                </c:pt>
                <c:pt idx="761">
                  <c:v>1.6399999999999998E-2</c:v>
                </c:pt>
                <c:pt idx="762">
                  <c:v>1.4999999999999999E-2</c:v>
                </c:pt>
                <c:pt idx="763">
                  <c:v>1.5600000000000001E-2</c:v>
                </c:pt>
                <c:pt idx="764">
                  <c:v>1.6299999999999999E-2</c:v>
                </c:pt>
                <c:pt idx="765">
                  <c:v>1.7600000000000001E-2</c:v>
                </c:pt>
                <c:pt idx="766">
                  <c:v>2.1400000000000002E-2</c:v>
                </c:pt>
                <c:pt idx="767">
                  <c:v>2.4900000000000002E-2</c:v>
                </c:pt>
                <c:pt idx="768">
                  <c:v>2.4300000000000002E-2</c:v>
                </c:pt>
                <c:pt idx="769">
                  <c:v>2.4199999999999999E-2</c:v>
                </c:pt>
                <c:pt idx="770">
                  <c:v>2.4799999999999999E-2</c:v>
                </c:pt>
                <c:pt idx="771">
                  <c:v>2.3E-2</c:v>
                </c:pt>
                <c:pt idx="772">
                  <c:v>2.3E-2</c:v>
                </c:pt>
                <c:pt idx="773">
                  <c:v>2.1899999999999999E-2</c:v>
                </c:pt>
                <c:pt idx="774">
                  <c:v>2.3199999999999998E-2</c:v>
                </c:pt>
                <c:pt idx="775">
                  <c:v>2.2099999999999998E-2</c:v>
                </c:pt>
                <c:pt idx="776">
                  <c:v>2.2000000000000002E-2</c:v>
                </c:pt>
                <c:pt idx="777">
                  <c:v>2.3599999999999999E-2</c:v>
                </c:pt>
                <c:pt idx="778">
                  <c:v>2.35E-2</c:v>
                </c:pt>
                <c:pt idx="779">
                  <c:v>2.4E-2</c:v>
                </c:pt>
                <c:pt idx="780">
                  <c:v>2.58E-2</c:v>
                </c:pt>
                <c:pt idx="781">
                  <c:v>2.86E-2</c:v>
                </c:pt>
                <c:pt idx="782">
                  <c:v>2.8399999999999998E-2</c:v>
                </c:pt>
                <c:pt idx="783">
                  <c:v>2.87E-2</c:v>
                </c:pt>
                <c:pt idx="784">
                  <c:v>2.9759999999999998E-2</c:v>
                </c:pt>
                <c:pt idx="785">
                  <c:v>2.9100000000000001E-2</c:v>
                </c:pt>
                <c:pt idx="786">
                  <c:v>2.8900000000000002E-2</c:v>
                </c:pt>
                <c:pt idx="787">
                  <c:v>2.8900000000000002E-2</c:v>
                </c:pt>
              </c:numCache>
            </c:numRef>
          </c:xVal>
          <c:yVal>
            <c:numRef>
              <c:f>'monthly return'!$C$994:$C$1781</c:f>
              <c:numCache>
                <c:formatCode>0%</c:formatCode>
                <c:ptCount val="788"/>
                <c:pt idx="0">
                  <c:v>7.6859381496192952E-2</c:v>
                </c:pt>
                <c:pt idx="1">
                  <c:v>7.7764447081040675E-2</c:v>
                </c:pt>
                <c:pt idx="2">
                  <c:v>7.7913056156253893E-2</c:v>
                </c:pt>
                <c:pt idx="3">
                  <c:v>8.2210465431763149E-2</c:v>
                </c:pt>
                <c:pt idx="4">
                  <c:v>8.2358952853828354E-2</c:v>
                </c:pt>
                <c:pt idx="5">
                  <c:v>8.6025887069047929E-2</c:v>
                </c:pt>
                <c:pt idx="6">
                  <c:v>8.5104922467363897E-2</c:v>
                </c:pt>
                <c:pt idx="7">
                  <c:v>8.5360093505152335E-2</c:v>
                </c:pt>
                <c:pt idx="8">
                  <c:v>8.9771850036105869E-2</c:v>
                </c:pt>
                <c:pt idx="9">
                  <c:v>8.7781401543428436E-2</c:v>
                </c:pt>
                <c:pt idx="10">
                  <c:v>8.5880622234369652E-2</c:v>
                </c:pt>
                <c:pt idx="11">
                  <c:v>8.507416930764089E-2</c:v>
                </c:pt>
                <c:pt idx="12">
                  <c:v>8.3314930766641176E-2</c:v>
                </c:pt>
                <c:pt idx="13">
                  <c:v>8.1866205748404086E-2</c:v>
                </c:pt>
                <c:pt idx="14">
                  <c:v>8.051461531387151E-2</c:v>
                </c:pt>
                <c:pt idx="15">
                  <c:v>7.7472126747841583E-2</c:v>
                </c:pt>
                <c:pt idx="16">
                  <c:v>7.5119953957440019E-2</c:v>
                </c:pt>
                <c:pt idx="17">
                  <c:v>7.4862145642828018E-2</c:v>
                </c:pt>
                <c:pt idx="18">
                  <c:v>7.2290848593406218E-2</c:v>
                </c:pt>
                <c:pt idx="19">
                  <c:v>7.1214356876357909E-2</c:v>
                </c:pt>
                <c:pt idx="20">
                  <c:v>6.9654985619634111E-2</c:v>
                </c:pt>
                <c:pt idx="21">
                  <c:v>6.8403046370440312E-2</c:v>
                </c:pt>
                <c:pt idx="22">
                  <c:v>6.6149327341693515E-2</c:v>
                </c:pt>
                <c:pt idx="23">
                  <c:v>6.3334984678166076E-2</c:v>
                </c:pt>
                <c:pt idx="24">
                  <c:v>6.2536032233955083E-2</c:v>
                </c:pt>
                <c:pt idx="25">
                  <c:v>6.0835657267250189E-2</c:v>
                </c:pt>
                <c:pt idx="26">
                  <c:v>6.1655006781610976E-2</c:v>
                </c:pt>
                <c:pt idx="27">
                  <c:v>5.9933114782718962E-2</c:v>
                </c:pt>
                <c:pt idx="28">
                  <c:v>6.0539805009631215E-2</c:v>
                </c:pt>
                <c:pt idx="29">
                  <c:v>5.7570219093068947E-2</c:v>
                </c:pt>
                <c:pt idx="30">
                  <c:v>5.4188700066166745E-2</c:v>
                </c:pt>
                <c:pt idx="31">
                  <c:v>5.4877734850588666E-2</c:v>
                </c:pt>
                <c:pt idx="32">
                  <c:v>5.3067400126090979E-2</c:v>
                </c:pt>
                <c:pt idx="33">
                  <c:v>5.6267255723908421E-2</c:v>
                </c:pt>
                <c:pt idx="34">
                  <c:v>5.3091070177170234E-2</c:v>
                </c:pt>
                <c:pt idx="35">
                  <c:v>5.2791707209871176E-2</c:v>
                </c:pt>
                <c:pt idx="36">
                  <c:v>5.4666958165306957E-2</c:v>
                </c:pt>
                <c:pt idx="37">
                  <c:v>5.4746173481810427E-2</c:v>
                </c:pt>
                <c:pt idx="38">
                  <c:v>5.1623001086346078E-2</c:v>
                </c:pt>
                <c:pt idx="39">
                  <c:v>5.1624643976573723E-2</c:v>
                </c:pt>
                <c:pt idx="40">
                  <c:v>5.3924324977437627E-2</c:v>
                </c:pt>
                <c:pt idx="41">
                  <c:v>5.5071647575615952E-2</c:v>
                </c:pt>
                <c:pt idx="42">
                  <c:v>5.3031273993446669E-2</c:v>
                </c:pt>
                <c:pt idx="43">
                  <c:v>5.3559175637436209E-2</c:v>
                </c:pt>
                <c:pt idx="44">
                  <c:v>5.6064368365077152E-2</c:v>
                </c:pt>
                <c:pt idx="45">
                  <c:v>5.7408731911081846E-2</c:v>
                </c:pt>
                <c:pt idx="46">
                  <c:v>5.841005583905217E-2</c:v>
                </c:pt>
                <c:pt idx="47">
                  <c:v>5.8147909786662816E-2</c:v>
                </c:pt>
                <c:pt idx="48">
                  <c:v>5.9816554309389543E-2</c:v>
                </c:pt>
                <c:pt idx="49">
                  <c:v>6.3116437964649219E-2</c:v>
                </c:pt>
                <c:pt idx="50">
                  <c:v>6.2891431913582027E-2</c:v>
                </c:pt>
                <c:pt idx="51">
                  <c:v>6.2020487206878243E-2</c:v>
                </c:pt>
                <c:pt idx="52">
                  <c:v>6.0247820532433258E-2</c:v>
                </c:pt>
                <c:pt idx="53">
                  <c:v>5.9773152973585778E-2</c:v>
                </c:pt>
                <c:pt idx="54">
                  <c:v>5.928075003651042E-2</c:v>
                </c:pt>
                <c:pt idx="55">
                  <c:v>6.3016170456273224E-2</c:v>
                </c:pt>
                <c:pt idx="56">
                  <c:v>6.5974921858690153E-2</c:v>
                </c:pt>
                <c:pt idx="57">
                  <c:v>7.0674117702954189E-2</c:v>
                </c:pt>
                <c:pt idx="58">
                  <c:v>7.280011395185404E-2</c:v>
                </c:pt>
                <c:pt idx="59">
                  <c:v>7.3135522886203855E-2</c:v>
                </c:pt>
                <c:pt idx="60">
                  <c:v>7.2524564973645608E-2</c:v>
                </c:pt>
                <c:pt idx="61">
                  <c:v>7.2543111406322996E-2</c:v>
                </c:pt>
                <c:pt idx="62">
                  <c:v>7.1810243261884538E-2</c:v>
                </c:pt>
                <c:pt idx="63">
                  <c:v>7.1872632560169417E-2</c:v>
                </c:pt>
                <c:pt idx="64">
                  <c:v>6.981375451078678E-2</c:v>
                </c:pt>
                <c:pt idx="65">
                  <c:v>6.8326753736815599E-2</c:v>
                </c:pt>
                <c:pt idx="66">
                  <c:v>6.6856284005180108E-2</c:v>
                </c:pt>
                <c:pt idx="67">
                  <c:v>6.4331158725837959E-2</c:v>
                </c:pt>
                <c:pt idx="68">
                  <c:v>6.2767061355056358E-2</c:v>
                </c:pt>
                <c:pt idx="69">
                  <c:v>6.0387190672421723E-2</c:v>
                </c:pt>
                <c:pt idx="70">
                  <c:v>5.8862019704070637E-2</c:v>
                </c:pt>
                <c:pt idx="71">
                  <c:v>5.7609137716856038E-2</c:v>
                </c:pt>
                <c:pt idx="72">
                  <c:v>5.5616302947568225E-2</c:v>
                </c:pt>
                <c:pt idx="73">
                  <c:v>5.6308940196262591E-2</c:v>
                </c:pt>
                <c:pt idx="74">
                  <c:v>5.4942423005304025E-2</c:v>
                </c:pt>
                <c:pt idx="75">
                  <c:v>5.4257142795693221E-2</c:v>
                </c:pt>
                <c:pt idx="76">
                  <c:v>5.3496758255961598E-2</c:v>
                </c:pt>
                <c:pt idx="77">
                  <c:v>5.4204680372454392E-2</c:v>
                </c:pt>
                <c:pt idx="78">
                  <c:v>5.2381981628582368E-2</c:v>
                </c:pt>
                <c:pt idx="79">
                  <c:v>5.274594425623947E-2</c:v>
                </c:pt>
                <c:pt idx="80">
                  <c:v>5.5177617821012957E-2</c:v>
                </c:pt>
                <c:pt idx="81">
                  <c:v>5.5487852848721875E-2</c:v>
                </c:pt>
                <c:pt idx="82">
                  <c:v>5.5334864344361002E-2</c:v>
                </c:pt>
                <c:pt idx="83">
                  <c:v>5.369205646893381E-2</c:v>
                </c:pt>
                <c:pt idx="84">
                  <c:v>5.4530726308741784E-2</c:v>
                </c:pt>
                <c:pt idx="85">
                  <c:v>5.6995401542043689E-2</c:v>
                </c:pt>
                <c:pt idx="86">
                  <c:v>5.7850214122026899E-2</c:v>
                </c:pt>
                <c:pt idx="87">
                  <c:v>5.7373113651290455E-2</c:v>
                </c:pt>
                <c:pt idx="88">
                  <c:v>5.7950284823489365E-2</c:v>
                </c:pt>
                <c:pt idx="89">
                  <c:v>5.6106131830813123E-2</c:v>
                </c:pt>
                <c:pt idx="90">
                  <c:v>5.7547973591100234E-2</c:v>
                </c:pt>
                <c:pt idx="91">
                  <c:v>5.6875985141773389E-2</c:v>
                </c:pt>
                <c:pt idx="92">
                  <c:v>5.8644094118217527E-2</c:v>
                </c:pt>
                <c:pt idx="93">
                  <c:v>6.0222445321971602E-2</c:v>
                </c:pt>
                <c:pt idx="94">
                  <c:v>5.8322339977134437E-2</c:v>
                </c:pt>
                <c:pt idx="95">
                  <c:v>5.6940828370301629E-2</c:v>
                </c:pt>
                <c:pt idx="96">
                  <c:v>5.4140629349739872E-2</c:v>
                </c:pt>
                <c:pt idx="97">
                  <c:v>5.1991226277201284E-2</c:v>
                </c:pt>
                <c:pt idx="98">
                  <c:v>5.0392493849302673E-2</c:v>
                </c:pt>
                <c:pt idx="99">
                  <c:v>4.9060869535691942E-2</c:v>
                </c:pt>
                <c:pt idx="100">
                  <c:v>4.8546972501948296E-2</c:v>
                </c:pt>
                <c:pt idx="101">
                  <c:v>4.9182550230940821E-2</c:v>
                </c:pt>
                <c:pt idx="102">
                  <c:v>4.9636059140314132E-2</c:v>
                </c:pt>
                <c:pt idx="103">
                  <c:v>4.7751641477405973E-2</c:v>
                </c:pt>
                <c:pt idx="104">
                  <c:v>4.8296945747887267E-2</c:v>
                </c:pt>
                <c:pt idx="105">
                  <c:v>4.7791574883466088E-2</c:v>
                </c:pt>
                <c:pt idx="106">
                  <c:v>4.574992836569295E-2</c:v>
                </c:pt>
                <c:pt idx="107">
                  <c:v>4.5369003850902687E-2</c:v>
                </c:pt>
                <c:pt idx="108">
                  <c:v>4.7174414386456684E-2</c:v>
                </c:pt>
                <c:pt idx="109">
                  <c:v>4.661637869369141E-2</c:v>
                </c:pt>
                <c:pt idx="110">
                  <c:v>4.6634920727946158E-2</c:v>
                </c:pt>
                <c:pt idx="111">
                  <c:v>4.8406608273329897E-2</c:v>
                </c:pt>
                <c:pt idx="112">
                  <c:v>5.2385182489606316E-2</c:v>
                </c:pt>
                <c:pt idx="113">
                  <c:v>5.9426282346566488E-2</c:v>
                </c:pt>
                <c:pt idx="114">
                  <c:v>5.8338545090265259E-2</c:v>
                </c:pt>
                <c:pt idx="115">
                  <c:v>5.691110656061589E-2</c:v>
                </c:pt>
                <c:pt idx="116">
                  <c:v>5.7731850187841834E-2</c:v>
                </c:pt>
                <c:pt idx="117">
                  <c:v>5.9737795399216274E-2</c:v>
                </c:pt>
                <c:pt idx="118">
                  <c:v>5.6008645303396491E-2</c:v>
                </c:pt>
                <c:pt idx="119">
                  <c:v>5.3804412867272312E-2</c:v>
                </c:pt>
                <c:pt idx="120">
                  <c:v>5.1923151241296449E-2</c:v>
                </c:pt>
                <c:pt idx="121">
                  <c:v>5.1363201691035087E-2</c:v>
                </c:pt>
                <c:pt idx="122">
                  <c:v>5.1845533514936946E-2</c:v>
                </c:pt>
                <c:pt idx="123">
                  <c:v>4.9627601332608622E-2</c:v>
                </c:pt>
                <c:pt idx="124">
                  <c:v>4.8762443643305495E-2</c:v>
                </c:pt>
                <c:pt idx="125">
                  <c:v>4.9057723785497394E-2</c:v>
                </c:pt>
                <c:pt idx="126">
                  <c:v>5.0077038802058292E-2</c:v>
                </c:pt>
                <c:pt idx="127">
                  <c:v>4.8845683924992625E-2</c:v>
                </c:pt>
                <c:pt idx="128">
                  <c:v>4.7709104026483325E-2</c:v>
                </c:pt>
                <c:pt idx="129">
                  <c:v>4.7866713194690033E-2</c:v>
                </c:pt>
                <c:pt idx="130">
                  <c:v>4.8261618119224588E-2</c:v>
                </c:pt>
                <c:pt idx="131">
                  <c:v>4.7531681272743237E-2</c:v>
                </c:pt>
                <c:pt idx="132">
                  <c:v>4.6238035949332928E-2</c:v>
                </c:pt>
                <c:pt idx="133">
                  <c:v>4.5802916552774145E-2</c:v>
                </c:pt>
                <c:pt idx="134">
                  <c:v>4.511160379042968E-2</c:v>
                </c:pt>
                <c:pt idx="135">
                  <c:v>4.4598672263173329E-2</c:v>
                </c:pt>
                <c:pt idx="136">
                  <c:v>4.4298101689387151E-2</c:v>
                </c:pt>
                <c:pt idx="137">
                  <c:v>4.4842470123343636E-2</c:v>
                </c:pt>
                <c:pt idx="138">
                  <c:v>4.3507861640458362E-2</c:v>
                </c:pt>
                <c:pt idx="139">
                  <c:v>4.4149316481021834E-2</c:v>
                </c:pt>
                <c:pt idx="140">
                  <c:v>4.3682959246542634E-2</c:v>
                </c:pt>
                <c:pt idx="141">
                  <c:v>4.3080877831325297E-2</c:v>
                </c:pt>
                <c:pt idx="142">
                  <c:v>4.305701389745524E-2</c:v>
                </c:pt>
                <c:pt idx="143">
                  <c:v>4.3950277732177245E-2</c:v>
                </c:pt>
                <c:pt idx="144">
                  <c:v>4.2975013960621582E-2</c:v>
                </c:pt>
                <c:pt idx="145">
                  <c:v>4.2786114961244751E-2</c:v>
                </c:pt>
                <c:pt idx="146">
                  <c:v>4.3004226773574149E-2</c:v>
                </c:pt>
                <c:pt idx="147">
                  <c:v>4.2697541967890176E-2</c:v>
                </c:pt>
                <c:pt idx="148">
                  <c:v>4.2178416855570805E-2</c:v>
                </c:pt>
                <c:pt idx="149">
                  <c:v>4.4672087472814634E-2</c:v>
                </c:pt>
                <c:pt idx="150">
                  <c:v>4.4841477438168915E-2</c:v>
                </c:pt>
                <c:pt idx="151">
                  <c:v>4.4118999476214685E-2</c:v>
                </c:pt>
                <c:pt idx="152">
                  <c:v>4.2782310182376299E-2</c:v>
                </c:pt>
                <c:pt idx="153">
                  <c:v>4.2059669549351281E-2</c:v>
                </c:pt>
                <c:pt idx="154">
                  <c:v>4.1796477545472999E-2</c:v>
                </c:pt>
                <c:pt idx="155">
                  <c:v>4.2204578885664819E-2</c:v>
                </c:pt>
                <c:pt idx="156">
                  <c:v>4.1565379822788601E-2</c:v>
                </c:pt>
                <c:pt idx="157">
                  <c:v>4.2194044498658843E-2</c:v>
                </c:pt>
                <c:pt idx="158">
                  <c:v>4.422604134850238E-2</c:v>
                </c:pt>
                <c:pt idx="159">
                  <c:v>4.3264390947480136E-2</c:v>
                </c:pt>
                <c:pt idx="160">
                  <c:v>4.5762028895397412E-2</c:v>
                </c:pt>
                <c:pt idx="161">
                  <c:v>4.6392402920124066E-2</c:v>
                </c:pt>
                <c:pt idx="162">
                  <c:v>4.6768961593999701E-2</c:v>
                </c:pt>
                <c:pt idx="163">
                  <c:v>5.021617091399589E-2</c:v>
                </c:pt>
                <c:pt idx="164">
                  <c:v>5.2187501078769336E-2</c:v>
                </c:pt>
                <c:pt idx="165">
                  <c:v>5.311969478462987E-2</c:v>
                </c:pt>
                <c:pt idx="166">
                  <c:v>5.0732446623926841E-2</c:v>
                </c:pt>
                <c:pt idx="167">
                  <c:v>5.0667612286036515E-2</c:v>
                </c:pt>
                <c:pt idx="168">
                  <c:v>4.8942254788456908E-2</c:v>
                </c:pt>
                <c:pt idx="169">
                  <c:v>4.7450838545688767E-2</c:v>
                </c:pt>
                <c:pt idx="170">
                  <c:v>4.663331134693216E-2</c:v>
                </c:pt>
                <c:pt idx="171">
                  <c:v>4.6112645072844453E-2</c:v>
                </c:pt>
                <c:pt idx="172">
                  <c:v>4.5561247017124558E-2</c:v>
                </c:pt>
                <c:pt idx="173">
                  <c:v>4.6399195943952566E-2</c:v>
                </c:pt>
                <c:pt idx="174">
                  <c:v>4.5862731592261834E-2</c:v>
                </c:pt>
                <c:pt idx="175">
                  <c:v>4.5391354398134159E-2</c:v>
                </c:pt>
                <c:pt idx="176">
                  <c:v>4.5006231248188859E-2</c:v>
                </c:pt>
                <c:pt idx="177">
                  <c:v>4.5314073486501405E-2</c:v>
                </c:pt>
                <c:pt idx="178">
                  <c:v>4.7029824456436997E-2</c:v>
                </c:pt>
                <c:pt idx="179">
                  <c:v>4.5973634157530391E-2</c:v>
                </c:pt>
                <c:pt idx="180">
                  <c:v>4.6486685321734958E-2</c:v>
                </c:pt>
                <c:pt idx="181">
                  <c:v>4.895962659768445E-2</c:v>
                </c:pt>
                <c:pt idx="182">
                  <c:v>5.0163756300993248E-2</c:v>
                </c:pt>
                <c:pt idx="183">
                  <c:v>4.6998320621389908E-2</c:v>
                </c:pt>
                <c:pt idx="184">
                  <c:v>4.6231599575864722E-2</c:v>
                </c:pt>
                <c:pt idx="185">
                  <c:v>4.5444994917543412E-2</c:v>
                </c:pt>
                <c:pt idx="186">
                  <c:v>4.5969535018227127E-2</c:v>
                </c:pt>
                <c:pt idx="187">
                  <c:v>4.7308687325566048E-2</c:v>
                </c:pt>
                <c:pt idx="188">
                  <c:v>4.6124874836202166E-2</c:v>
                </c:pt>
                <c:pt idx="189">
                  <c:v>4.5445029001154248E-2</c:v>
                </c:pt>
                <c:pt idx="190">
                  <c:v>4.5054118321108262E-2</c:v>
                </c:pt>
                <c:pt idx="191">
                  <c:v>4.4887588694168298E-2</c:v>
                </c:pt>
                <c:pt idx="192">
                  <c:v>4.7181009971942287E-2</c:v>
                </c:pt>
                <c:pt idx="193">
                  <c:v>4.7856667591444003E-2</c:v>
                </c:pt>
                <c:pt idx="194">
                  <c:v>4.9499344776389023E-2</c:v>
                </c:pt>
                <c:pt idx="195">
                  <c:v>4.8950961122233204E-2</c:v>
                </c:pt>
                <c:pt idx="196">
                  <c:v>4.7682037243286651E-2</c:v>
                </c:pt>
                <c:pt idx="197">
                  <c:v>5.0727067034841415E-2</c:v>
                </c:pt>
                <c:pt idx="198">
                  <c:v>5.3528295641347395E-2</c:v>
                </c:pt>
                <c:pt idx="199">
                  <c:v>5.4260785917310587E-2</c:v>
                </c:pt>
                <c:pt idx="200">
                  <c:v>5.4353597184481808E-2</c:v>
                </c:pt>
                <c:pt idx="201">
                  <c:v>5.4204472837947021E-2</c:v>
                </c:pt>
                <c:pt idx="202">
                  <c:v>5.4236523059561045E-2</c:v>
                </c:pt>
                <c:pt idx="203">
                  <c:v>5.7713628725817125E-2</c:v>
                </c:pt>
                <c:pt idx="204">
                  <c:v>5.8511897129505538E-2</c:v>
                </c:pt>
                <c:pt idx="205">
                  <c:v>6.1077703419733703E-2</c:v>
                </c:pt>
                <c:pt idx="206">
                  <c:v>6.0489880391215174E-2</c:v>
                </c:pt>
                <c:pt idx="207">
                  <c:v>6.2999793825658457E-2</c:v>
                </c:pt>
                <c:pt idx="208">
                  <c:v>7.151113583232066E-2</c:v>
                </c:pt>
                <c:pt idx="209">
                  <c:v>7.2465386521519654E-2</c:v>
                </c:pt>
                <c:pt idx="210">
                  <c:v>7.2851784404170533E-2</c:v>
                </c:pt>
                <c:pt idx="211">
                  <c:v>7.0919689643200806E-2</c:v>
                </c:pt>
                <c:pt idx="212">
                  <c:v>6.7373363187001489E-2</c:v>
                </c:pt>
                <c:pt idx="213">
                  <c:v>6.638261367445196E-2</c:v>
                </c:pt>
                <c:pt idx="214">
                  <c:v>6.6886223330996544E-2</c:v>
                </c:pt>
                <c:pt idx="215">
                  <c:v>6.2996726482583157E-2</c:v>
                </c:pt>
                <c:pt idx="216">
                  <c:v>6.0746720766441317E-2</c:v>
                </c:pt>
                <c:pt idx="217">
                  <c:v>5.8704274159920362E-2</c:v>
                </c:pt>
                <c:pt idx="218">
                  <c:v>5.7461678811379147E-2</c:v>
                </c:pt>
                <c:pt idx="219">
                  <c:v>5.5790774270409314E-2</c:v>
                </c:pt>
                <c:pt idx="220">
                  <c:v>5.6934142174436521E-2</c:v>
                </c:pt>
                <c:pt idx="221">
                  <c:v>5.8537155728813059E-2</c:v>
                </c:pt>
                <c:pt idx="222">
                  <c:v>5.9208682908666939E-2</c:v>
                </c:pt>
                <c:pt idx="223">
                  <c:v>6.0534705072790559E-2</c:v>
                </c:pt>
                <c:pt idx="224">
                  <c:v>5.9323266698703969E-2</c:v>
                </c:pt>
                <c:pt idx="225">
                  <c:v>6.0868486011662712E-2</c:v>
                </c:pt>
                <c:pt idx="226">
                  <c:v>6.3943882217398371E-2</c:v>
                </c:pt>
                <c:pt idx="227">
                  <c:v>6.0228057588860094E-2</c:v>
                </c:pt>
                <c:pt idx="228">
                  <c:v>5.79273698395023E-2</c:v>
                </c:pt>
                <c:pt idx="229">
                  <c:v>5.7260166518854967E-2</c:v>
                </c:pt>
                <c:pt idx="230">
                  <c:v>5.616196799430119E-2</c:v>
                </c:pt>
                <c:pt idx="231">
                  <c:v>5.5818642217457387E-2</c:v>
                </c:pt>
                <c:pt idx="232">
                  <c:v>5.6616658039547157E-2</c:v>
                </c:pt>
                <c:pt idx="233">
                  <c:v>5.6686587397752966E-2</c:v>
                </c:pt>
                <c:pt idx="234">
                  <c:v>5.7475591450293954E-2</c:v>
                </c:pt>
                <c:pt idx="235">
                  <c:v>5.5730783392914734E-2</c:v>
                </c:pt>
                <c:pt idx="236">
                  <c:v>5.67734902656312E-2</c:v>
                </c:pt>
                <c:pt idx="237">
                  <c:v>5.7034706777618002E-2</c:v>
                </c:pt>
                <c:pt idx="238">
                  <c:v>5.4528913303799456E-2</c:v>
                </c:pt>
                <c:pt idx="239">
                  <c:v>5.3631612505308852E-2</c:v>
                </c:pt>
                <c:pt idx="240">
                  <c:v>5.3440126750754616E-2</c:v>
                </c:pt>
                <c:pt idx="241">
                  <c:v>5.5897494193875109E-2</c:v>
                </c:pt>
                <c:pt idx="242">
                  <c:v>5.7431187768415652E-2</c:v>
                </c:pt>
                <c:pt idx="243">
                  <c:v>5.9046725805894193E-2</c:v>
                </c:pt>
                <c:pt idx="244">
                  <c:v>6.1295772677722349E-2</c:v>
                </c:pt>
                <c:pt idx="245">
                  <c:v>6.3257816593432561E-2</c:v>
                </c:pt>
                <c:pt idx="246">
                  <c:v>6.2934568806697774E-2</c:v>
                </c:pt>
                <c:pt idx="247">
                  <c:v>6.5451446696331447E-2</c:v>
                </c:pt>
                <c:pt idx="248">
                  <c:v>6.4619066781215956E-2</c:v>
                </c:pt>
                <c:pt idx="249">
                  <c:v>6.283966287442258E-2</c:v>
                </c:pt>
                <c:pt idx="250">
                  <c:v>6.8250789514878646E-2</c:v>
                </c:pt>
                <c:pt idx="251">
                  <c:v>7.4110691968216777E-2</c:v>
                </c:pt>
                <c:pt idx="252">
                  <c:v>7.3905886762277134E-2</c:v>
                </c:pt>
                <c:pt idx="253">
                  <c:v>7.7176445530271559E-2</c:v>
                </c:pt>
                <c:pt idx="254">
                  <c:v>7.5129424111432058E-2</c:v>
                </c:pt>
                <c:pt idx="255">
                  <c:v>7.9678665195293222E-2</c:v>
                </c:pt>
                <c:pt idx="256">
                  <c:v>8.33650332531332E-2</c:v>
                </c:pt>
                <c:pt idx="257">
                  <c:v>8.4114909303019514E-2</c:v>
                </c:pt>
                <c:pt idx="258">
                  <c:v>9.6208038982833061E-2</c:v>
                </c:pt>
                <c:pt idx="259">
                  <c:v>0.10178950299661363</c:v>
                </c:pt>
                <c:pt idx="260">
                  <c:v>0.1152017816634697</c:v>
                </c:pt>
                <c:pt idx="261">
                  <c:v>0.11435126913943865</c:v>
                </c:pt>
                <c:pt idx="262">
                  <c:v>0.11174452236168592</c:v>
                </c:pt>
                <c:pt idx="263">
                  <c:v>0.12064094037844901</c:v>
                </c:pt>
                <c:pt idx="264">
                  <c:v>0.11209511304628779</c:v>
                </c:pt>
                <c:pt idx="265">
                  <c:v>0.10243543613213346</c:v>
                </c:pt>
                <c:pt idx="266">
                  <c:v>9.8388429332149765E-2</c:v>
                </c:pt>
                <c:pt idx="267">
                  <c:v>9.7722325784598094E-2</c:v>
                </c:pt>
                <c:pt idx="268">
                  <c:v>9.2437339635672591E-2</c:v>
                </c:pt>
                <c:pt idx="269">
                  <c:v>9.081534792823491E-2</c:v>
                </c:pt>
                <c:pt idx="270">
                  <c:v>9.171983548539242E-2</c:v>
                </c:pt>
                <c:pt idx="271">
                  <c:v>9.9110290948691421E-2</c:v>
                </c:pt>
                <c:pt idx="272">
                  <c:v>0.10081757654222351</c:v>
                </c:pt>
                <c:pt idx="273">
                  <c:v>9.6827919511222799E-2</c:v>
                </c:pt>
                <c:pt idx="274">
                  <c:v>9.5823444540392433E-2</c:v>
                </c:pt>
                <c:pt idx="275">
                  <c:v>9.7557469096820379E-2</c:v>
                </c:pt>
                <c:pt idx="276">
                  <c:v>8.9405043175909624E-2</c:v>
                </c:pt>
                <c:pt idx="277">
                  <c:v>8.6310372312655287E-2</c:v>
                </c:pt>
                <c:pt idx="278">
                  <c:v>8.597155384344958E-2</c:v>
                </c:pt>
                <c:pt idx="279">
                  <c:v>8.554931633176123E-2</c:v>
                </c:pt>
                <c:pt idx="280">
                  <c:v>8.6714824257136308E-2</c:v>
                </c:pt>
                <c:pt idx="281">
                  <c:v>8.6626275024291127E-2</c:v>
                </c:pt>
                <c:pt idx="282">
                  <c:v>8.5052163211354254E-2</c:v>
                </c:pt>
                <c:pt idx="283">
                  <c:v>8.6221866432986502E-2</c:v>
                </c:pt>
                <c:pt idx="284">
                  <c:v>8.4702758478650247E-2</c:v>
                </c:pt>
                <c:pt idx="285">
                  <c:v>8.8139148800140774E-2</c:v>
                </c:pt>
                <c:pt idx="286">
                  <c:v>8.8897929922878635E-2</c:v>
                </c:pt>
                <c:pt idx="287">
                  <c:v>8.6224812532201434E-2</c:v>
                </c:pt>
                <c:pt idx="288">
                  <c:v>8.7428167457556424E-2</c:v>
                </c:pt>
                <c:pt idx="289">
                  <c:v>9.0786596233937589E-2</c:v>
                </c:pt>
                <c:pt idx="290">
                  <c:v>9.1778934002328907E-2</c:v>
                </c:pt>
                <c:pt idx="291">
                  <c:v>9.4019977697758925E-2</c:v>
                </c:pt>
                <c:pt idx="292">
                  <c:v>9.48003281466714E-2</c:v>
                </c:pt>
                <c:pt idx="293">
                  <c:v>9.4966545554408005E-2</c:v>
                </c:pt>
                <c:pt idx="294">
                  <c:v>9.4628037761499112E-2</c:v>
                </c:pt>
                <c:pt idx="295">
                  <c:v>9.7386291522132115E-2</c:v>
                </c:pt>
                <c:pt idx="296">
                  <c:v>9.9327130010356923E-2</c:v>
                </c:pt>
                <c:pt idx="297">
                  <c:v>0.10238908234690117</c:v>
                </c:pt>
                <c:pt idx="298">
                  <c:v>0.10239292277250135</c:v>
                </c:pt>
                <c:pt idx="299">
                  <c:v>0.10332428761617948</c:v>
                </c:pt>
                <c:pt idx="300">
                  <c:v>0.10820798394937764</c:v>
                </c:pt>
                <c:pt idx="301">
                  <c:v>0.11055509794526502</c:v>
                </c:pt>
                <c:pt idx="302">
                  <c:v>0.11172659957032506</c:v>
                </c:pt>
                <c:pt idx="303">
                  <c:v>0.10796117911909345</c:v>
                </c:pt>
                <c:pt idx="304">
                  <c:v>0.10378923356620096</c:v>
                </c:pt>
                <c:pt idx="305">
                  <c:v>0.10471556185136952</c:v>
                </c:pt>
                <c:pt idx="306">
                  <c:v>0.10609489667948484</c:v>
                </c:pt>
                <c:pt idx="307">
                  <c:v>9.9760864687728212E-2</c:v>
                </c:pt>
                <c:pt idx="308">
                  <c:v>0.10058452207544476</c:v>
                </c:pt>
                <c:pt idx="309">
                  <c:v>0.10489207888836322</c:v>
                </c:pt>
                <c:pt idx="310">
                  <c:v>0.11200191332231989</c:v>
                </c:pt>
                <c:pt idx="311">
                  <c:v>0.11096387660613118</c:v>
                </c:pt>
                <c:pt idx="312">
                  <c:v>0.10801892629127856</c:v>
                </c:pt>
                <c:pt idx="313">
                  <c:v>0.11106495287400948</c:v>
                </c:pt>
                <c:pt idx="314">
                  <c:v>0.11024404136247054</c:v>
                </c:pt>
                <c:pt idx="315">
                  <c:v>0.10949228511875603</c:v>
                </c:pt>
                <c:pt idx="316">
                  <c:v>0.11370893979093796</c:v>
                </c:pt>
                <c:pt idx="317">
                  <c:v>0.11294409635310625</c:v>
                </c:pt>
                <c:pt idx="318">
                  <c:v>0.11328238135436025</c:v>
                </c:pt>
                <c:pt idx="319">
                  <c:v>0.10956303656772942</c:v>
                </c:pt>
                <c:pt idx="320">
                  <c:v>0.10973625013193621</c:v>
                </c:pt>
                <c:pt idx="321">
                  <c:v>0.11518291273528479</c:v>
                </c:pt>
                <c:pt idx="322">
                  <c:v>0.11738764176125073</c:v>
                </c:pt>
                <c:pt idx="323">
                  <c:v>0.11434838498069572</c:v>
                </c:pt>
                <c:pt idx="324">
                  <c:v>0.11298242418040708</c:v>
                </c:pt>
                <c:pt idx="325">
                  <c:v>0.11044261311400214</c:v>
                </c:pt>
                <c:pt idx="326">
                  <c:v>0.12374475025615456</c:v>
                </c:pt>
                <c:pt idx="327">
                  <c:v>0.12748557827660636</c:v>
                </c:pt>
                <c:pt idx="328">
                  <c:v>0.12339241573383543</c:v>
                </c:pt>
                <c:pt idx="329">
                  <c:v>0.11748012699463149</c:v>
                </c:pt>
                <c:pt idx="330">
                  <c:v>0.11260163741095318</c:v>
                </c:pt>
                <c:pt idx="331">
                  <c:v>0.11024135603332356</c:v>
                </c:pt>
                <c:pt idx="332">
                  <c:v>0.10874245715263486</c:v>
                </c:pt>
                <c:pt idx="333">
                  <c:v>0.10686225540735618</c:v>
                </c:pt>
                <c:pt idx="334">
                  <c:v>0.10358353814043905</c:v>
                </c:pt>
                <c:pt idx="335">
                  <c:v>0.10649738314159791</c:v>
                </c:pt>
                <c:pt idx="336">
                  <c:v>0.10799830557842388</c:v>
                </c:pt>
                <c:pt idx="337">
                  <c:v>0.11325157399060254</c:v>
                </c:pt>
                <c:pt idx="338">
                  <c:v>0.11011885599171507</c:v>
                </c:pt>
                <c:pt idx="339">
                  <c:v>0.11006474719594041</c:v>
                </c:pt>
                <c:pt idx="340">
                  <c:v>0.11339818278203824</c:v>
                </c:pt>
                <c:pt idx="341">
                  <c:v>0.11408569605804844</c:v>
                </c:pt>
                <c:pt idx="342">
                  <c:v>0.11840878297189603</c:v>
                </c:pt>
                <c:pt idx="343">
                  <c:v>0.119050364057533</c:v>
                </c:pt>
                <c:pt idx="344">
                  <c:v>0.13190588213853596</c:v>
                </c:pt>
                <c:pt idx="345">
                  <c:v>0.13073362182043652</c:v>
                </c:pt>
                <c:pt idx="346">
                  <c:v>0.12802863636844924</c:v>
                </c:pt>
                <c:pt idx="347">
                  <c:v>0.12767214386439585</c:v>
                </c:pt>
                <c:pt idx="348">
                  <c:v>0.13534253891820172</c:v>
                </c:pt>
                <c:pt idx="349">
                  <c:v>0.13924040417950853</c:v>
                </c:pt>
                <c:pt idx="350">
                  <c:v>0.14387094398387348</c:v>
                </c:pt>
                <c:pt idx="351">
                  <c:v>0.13775864378286123</c:v>
                </c:pt>
                <c:pt idx="352">
                  <c:v>0.13903154134327508</c:v>
                </c:pt>
                <c:pt idx="353">
                  <c:v>0.14942916590785904</c:v>
                </c:pt>
                <c:pt idx="354">
                  <c:v>0.15063296498630932</c:v>
                </c:pt>
                <c:pt idx="355">
                  <c:v>0.15052481789962105</c:v>
                </c:pt>
                <c:pt idx="356">
                  <c:v>0.13515635467691442</c:v>
                </c:pt>
                <c:pt idx="357">
                  <c:v>0.12500248450977838</c:v>
                </c:pt>
                <c:pt idx="358">
                  <c:v>0.11979667717668151</c:v>
                </c:pt>
                <c:pt idx="359">
                  <c:v>0.11809528738330062</c:v>
                </c:pt>
                <c:pt idx="360">
                  <c:v>0.11419718570215145</c:v>
                </c:pt>
                <c:pt idx="361">
                  <c:v>0.11222723041237831</c:v>
                </c:pt>
                <c:pt idx="362">
                  <c:v>0.10830915677322832</c:v>
                </c:pt>
                <c:pt idx="363">
                  <c:v>0.10491438620596991</c:v>
                </c:pt>
                <c:pt idx="364">
                  <c:v>0.10127139650949138</c:v>
                </c:pt>
                <c:pt idx="365">
                  <c:v>9.9998820982600753E-2</c:v>
                </c:pt>
                <c:pt idx="366">
                  <c:v>9.9855449295825072E-2</c:v>
                </c:pt>
                <c:pt idx="367">
                  <c:v>0.10279545099430684</c:v>
                </c:pt>
                <c:pt idx="368">
                  <c:v>0.10015822537691545</c:v>
                </c:pt>
                <c:pt idx="369">
                  <c:v>9.9966093505906517E-2</c:v>
                </c:pt>
                <c:pt idx="370">
                  <c:v>0.10148594040061729</c:v>
                </c:pt>
                <c:pt idx="371">
                  <c:v>0.10188475691171479</c:v>
                </c:pt>
                <c:pt idx="372">
                  <c:v>0.1010618384524868</c:v>
                </c:pt>
                <c:pt idx="373">
                  <c:v>0.10724401530088411</c:v>
                </c:pt>
                <c:pt idx="374">
                  <c:v>0.10721851818957713</c:v>
                </c:pt>
                <c:pt idx="375">
                  <c:v>0.10746167207591813</c:v>
                </c:pt>
                <c:pt idx="376">
                  <c:v>0.10832086413985627</c:v>
                </c:pt>
                <c:pt idx="377">
                  <c:v>0.11098550619583533</c:v>
                </c:pt>
                <c:pt idx="378">
                  <c:v>0.11276115493859248</c:v>
                </c:pt>
                <c:pt idx="379">
                  <c:v>0.10391701407904617</c:v>
                </c:pt>
                <c:pt idx="380">
                  <c:v>0.10322749737259763</c:v>
                </c:pt>
                <c:pt idx="381">
                  <c:v>0.10422018043934621</c:v>
                </c:pt>
                <c:pt idx="382">
                  <c:v>0.10317816373578712</c:v>
                </c:pt>
                <c:pt idx="383">
                  <c:v>0.10422035316378499</c:v>
                </c:pt>
                <c:pt idx="384">
                  <c:v>0.10002999721832806</c:v>
                </c:pt>
                <c:pt idx="385">
                  <c:v>9.5284056885849872E-2</c:v>
                </c:pt>
                <c:pt idx="386">
                  <c:v>9.6402107396461725E-2</c:v>
                </c:pt>
                <c:pt idx="387">
                  <c:v>9.6180492591087602E-2</c:v>
                </c:pt>
                <c:pt idx="388">
                  <c:v>9.4267406090432798E-2</c:v>
                </c:pt>
                <c:pt idx="389">
                  <c:v>9.2506511464687094E-2</c:v>
                </c:pt>
                <c:pt idx="390">
                  <c:v>9.0929227957095252E-2</c:v>
                </c:pt>
                <c:pt idx="391">
                  <c:v>9.3120275803385846E-2</c:v>
                </c:pt>
                <c:pt idx="392">
                  <c:v>9.5499722077461699E-2</c:v>
                </c:pt>
                <c:pt idx="393">
                  <c:v>9.4764121357617331E-2</c:v>
                </c:pt>
                <c:pt idx="394">
                  <c:v>8.9568726440663132E-2</c:v>
                </c:pt>
                <c:pt idx="395">
                  <c:v>8.5539383523996398E-2</c:v>
                </c:pt>
                <c:pt idx="396">
                  <c:v>8.5360593477046873E-2</c:v>
                </c:pt>
                <c:pt idx="397">
                  <c:v>8.0721852913222203E-2</c:v>
                </c:pt>
                <c:pt idx="398">
                  <c:v>7.5820627608292224E-2</c:v>
                </c:pt>
                <c:pt idx="399">
                  <c:v>7.3787101427489871E-2</c:v>
                </c:pt>
                <c:pt idx="400">
                  <c:v>7.3746061429835849E-2</c:v>
                </c:pt>
                <c:pt idx="401">
                  <c:v>7.2001038175415644E-2</c:v>
                </c:pt>
                <c:pt idx="402">
                  <c:v>7.3421463134662329E-2</c:v>
                </c:pt>
                <c:pt idx="403">
                  <c:v>7.2006331973120896E-2</c:v>
                </c:pt>
                <c:pt idx="404">
                  <c:v>7.4253854685517956E-2</c:v>
                </c:pt>
                <c:pt idx="405">
                  <c:v>7.4482797815459287E-2</c:v>
                </c:pt>
                <c:pt idx="406">
                  <c:v>7.2082537177746334E-2</c:v>
                </c:pt>
                <c:pt idx="407">
                  <c:v>7.0996810337180485E-2</c:v>
                </c:pt>
                <c:pt idx="408">
                  <c:v>6.7014210835913607E-2</c:v>
                </c:pt>
                <c:pt idx="409">
                  <c:v>6.3201864036133648E-2</c:v>
                </c:pt>
                <c:pt idx="410">
                  <c:v>6.0851887568117026E-2</c:v>
                </c:pt>
                <c:pt idx="411">
                  <c:v>6.1741602988479929E-2</c:v>
                </c:pt>
                <c:pt idx="412">
                  <c:v>6.1879993587355415E-2</c:v>
                </c:pt>
                <c:pt idx="413">
                  <c:v>5.9434631722589927E-2</c:v>
                </c:pt>
                <c:pt idx="414">
                  <c:v>5.7783413053346756E-2</c:v>
                </c:pt>
                <c:pt idx="415">
                  <c:v>5.4564580187205204E-2</c:v>
                </c:pt>
                <c:pt idx="416">
                  <c:v>5.6575100310184319E-2</c:v>
                </c:pt>
                <c:pt idx="417">
                  <c:v>6.4391269941241155E-2</c:v>
                </c:pt>
                <c:pt idx="418">
                  <c:v>7.3578724966352815E-2</c:v>
                </c:pt>
                <c:pt idx="419">
                  <c:v>7.4688017799236076E-2</c:v>
                </c:pt>
                <c:pt idx="420">
                  <c:v>7.1951055926153959E-2</c:v>
                </c:pt>
                <c:pt idx="421">
                  <c:v>6.9938526317260774E-2</c:v>
                </c:pt>
                <c:pt idx="422">
                  <c:v>6.8171219984454731E-2</c:v>
                </c:pt>
                <c:pt idx="423">
                  <c:v>6.9284145849958054E-2</c:v>
                </c:pt>
                <c:pt idx="424">
                  <c:v>7.1266230274834141E-2</c:v>
                </c:pt>
                <c:pt idx="425">
                  <c:v>6.7720998421893802E-2</c:v>
                </c:pt>
                <c:pt idx="426">
                  <c:v>6.8454161269292629E-2</c:v>
                </c:pt>
                <c:pt idx="427">
                  <c:v>7.0200334784734572E-2</c:v>
                </c:pt>
                <c:pt idx="428">
                  <c:v>6.959218877652662E-2</c:v>
                </c:pt>
                <c:pt idx="429">
                  <c:v>6.7515333721641257E-2</c:v>
                </c:pt>
                <c:pt idx="430">
                  <c:v>6.9225563400317686E-2</c:v>
                </c:pt>
                <c:pt idx="431">
                  <c:v>6.8017555405672586E-2</c:v>
                </c:pt>
                <c:pt idx="432">
                  <c:v>6.6277518470090988E-2</c:v>
                </c:pt>
                <c:pt idx="433">
                  <c:v>6.4653526273420234E-2</c:v>
                </c:pt>
                <c:pt idx="434">
                  <c:v>6.5363881244744487E-2</c:v>
                </c:pt>
                <c:pt idx="435">
                  <c:v>6.374809748079184E-2</c:v>
                </c:pt>
                <c:pt idx="436">
                  <c:v>6.1780437305950411E-2</c:v>
                </c:pt>
                <c:pt idx="437">
                  <c:v>6.0089277394607787E-2</c:v>
                </c:pt>
                <c:pt idx="438">
                  <c:v>5.8777172718286287E-2</c:v>
                </c:pt>
                <c:pt idx="439">
                  <c:v>5.6388058079377204E-2</c:v>
                </c:pt>
                <c:pt idx="440">
                  <c:v>5.6451820157500332E-2</c:v>
                </c:pt>
                <c:pt idx="441">
                  <c:v>5.6686598525467292E-2</c:v>
                </c:pt>
                <c:pt idx="442">
                  <c:v>5.7996669977190392E-2</c:v>
                </c:pt>
                <c:pt idx="443">
                  <c:v>5.6656540370666086E-2</c:v>
                </c:pt>
                <c:pt idx="444">
                  <c:v>5.86550045890828E-2</c:v>
                </c:pt>
                <c:pt idx="445">
                  <c:v>6.0576346929527555E-2</c:v>
                </c:pt>
                <c:pt idx="446">
                  <c:v>5.9404476420235518E-2</c:v>
                </c:pt>
                <c:pt idx="447">
                  <c:v>5.9474552208524725E-2</c:v>
                </c:pt>
                <c:pt idx="448">
                  <c:v>5.7496332806441008E-2</c:v>
                </c:pt>
                <c:pt idx="449">
                  <c:v>5.612591073465209E-2</c:v>
                </c:pt>
                <c:pt idx="450">
                  <c:v>5.6347006907205031E-2</c:v>
                </c:pt>
                <c:pt idx="451">
                  <c:v>6.1849288443104784E-2</c:v>
                </c:pt>
                <c:pt idx="452">
                  <c:v>6.5353986349122192E-2</c:v>
                </c:pt>
                <c:pt idx="453">
                  <c:v>6.7484816748231424E-2</c:v>
                </c:pt>
                <c:pt idx="454">
                  <c:v>6.5843154917480995E-2</c:v>
                </c:pt>
                <c:pt idx="455">
                  <c:v>6.3106154433681907E-2</c:v>
                </c:pt>
                <c:pt idx="456">
                  <c:v>6.4077138134771172E-2</c:v>
                </c:pt>
                <c:pt idx="457">
                  <c:v>5.7621395439303308E-2</c:v>
                </c:pt>
                <c:pt idx="458">
                  <c:v>5.6121068596762816E-2</c:v>
                </c:pt>
                <c:pt idx="459">
                  <c:v>5.5080195429627915E-2</c:v>
                </c:pt>
                <c:pt idx="460">
                  <c:v>5.5446415721060731E-2</c:v>
                </c:pt>
                <c:pt idx="461">
                  <c:v>5.5508598227455776E-2</c:v>
                </c:pt>
                <c:pt idx="462">
                  <c:v>5.5238082820566567E-2</c:v>
                </c:pt>
                <c:pt idx="463">
                  <c:v>5.4018260517082715E-2</c:v>
                </c:pt>
                <c:pt idx="464">
                  <c:v>5.4474293512705829E-2</c:v>
                </c:pt>
                <c:pt idx="465">
                  <c:v>5.4498324418272806E-2</c:v>
                </c:pt>
                <c:pt idx="466">
                  <c:v>5.4678069235500497E-2</c:v>
                </c:pt>
                <c:pt idx="467">
                  <c:v>5.4225076094036942E-2</c:v>
                </c:pt>
                <c:pt idx="468">
                  <c:v>5.0573840605085768E-2</c:v>
                </c:pt>
                <c:pt idx="469">
                  <c:v>5.1064743380116996E-2</c:v>
                </c:pt>
                <c:pt idx="470">
                  <c:v>5.1857639537380582E-2</c:v>
                </c:pt>
                <c:pt idx="471">
                  <c:v>5.1810170931944094E-2</c:v>
                </c:pt>
                <c:pt idx="472">
                  <c:v>5.0858802254541126E-2</c:v>
                </c:pt>
                <c:pt idx="473">
                  <c:v>5.1772252292558774E-2</c:v>
                </c:pt>
                <c:pt idx="474">
                  <c:v>5.096647550435144E-2</c:v>
                </c:pt>
                <c:pt idx="475">
                  <c:v>5.0704443171212268E-2</c:v>
                </c:pt>
                <c:pt idx="476">
                  <c:v>5.0738842728606869E-2</c:v>
                </c:pt>
                <c:pt idx="477">
                  <c:v>5.1625503640586053E-2</c:v>
                </c:pt>
                <c:pt idx="478">
                  <c:v>5.0419347700881099E-2</c:v>
                </c:pt>
                <c:pt idx="479">
                  <c:v>4.8903087317003005E-2</c:v>
                </c:pt>
                <c:pt idx="480">
                  <c:v>4.9204339256508918E-2</c:v>
                </c:pt>
                <c:pt idx="481">
                  <c:v>4.8672845331284846E-2</c:v>
                </c:pt>
                <c:pt idx="482">
                  <c:v>4.7949671682377487E-2</c:v>
                </c:pt>
                <c:pt idx="483">
                  <c:v>4.8882157884603775E-2</c:v>
                </c:pt>
                <c:pt idx="484">
                  <c:v>4.8738630513218681E-2</c:v>
                </c:pt>
                <c:pt idx="485">
                  <c:v>4.8524004090724902E-2</c:v>
                </c:pt>
                <c:pt idx="486">
                  <c:v>4.8627261138633207E-2</c:v>
                </c:pt>
                <c:pt idx="487">
                  <c:v>4.8048677046203518E-2</c:v>
                </c:pt>
                <c:pt idx="488">
                  <c:v>4.7633789130784643E-2</c:v>
                </c:pt>
                <c:pt idx="489">
                  <c:v>4.7372758345986796E-2</c:v>
                </c:pt>
                <c:pt idx="490">
                  <c:v>4.7533258711854896E-2</c:v>
                </c:pt>
                <c:pt idx="491">
                  <c:v>4.7248412889371087E-2</c:v>
                </c:pt>
                <c:pt idx="492">
                  <c:v>4.6702838202666748E-2</c:v>
                </c:pt>
                <c:pt idx="493">
                  <c:v>4.7028193928801518E-2</c:v>
                </c:pt>
                <c:pt idx="494">
                  <c:v>4.7999901950883508E-2</c:v>
                </c:pt>
                <c:pt idx="495">
                  <c:v>4.9862255307638895E-2</c:v>
                </c:pt>
                <c:pt idx="496">
                  <c:v>4.9513548151870181E-2</c:v>
                </c:pt>
                <c:pt idx="497">
                  <c:v>4.9283507276751737E-2</c:v>
                </c:pt>
                <c:pt idx="498">
                  <c:v>4.9830695686424044E-2</c:v>
                </c:pt>
                <c:pt idx="499">
                  <c:v>4.8696043153752651E-2</c:v>
                </c:pt>
                <c:pt idx="500">
                  <c:v>4.859924793150807E-2</c:v>
                </c:pt>
                <c:pt idx="501">
                  <c:v>4.902980007527457E-2</c:v>
                </c:pt>
                <c:pt idx="502">
                  <c:v>4.948174546614189E-2</c:v>
                </c:pt>
                <c:pt idx="503">
                  <c:v>5.0222273466480852E-2</c:v>
                </c:pt>
                <c:pt idx="504">
                  <c:v>4.9458138067541346E-2</c:v>
                </c:pt>
                <c:pt idx="505">
                  <c:v>4.8070979460076331E-2</c:v>
                </c:pt>
                <c:pt idx="506">
                  <c:v>4.7275205365676268E-2</c:v>
                </c:pt>
                <c:pt idx="507">
                  <c:v>4.6204872123620004E-2</c:v>
                </c:pt>
                <c:pt idx="508">
                  <c:v>4.50543264432582E-2</c:v>
                </c:pt>
                <c:pt idx="509">
                  <c:v>4.4017268087883525E-2</c:v>
                </c:pt>
                <c:pt idx="510">
                  <c:v>4.2778163322000878E-2</c:v>
                </c:pt>
                <c:pt idx="511">
                  <c:v>4.2947817499065136E-2</c:v>
                </c:pt>
                <c:pt idx="512">
                  <c:v>4.1760615740880344E-2</c:v>
                </c:pt>
                <c:pt idx="513">
                  <c:v>4.1794203831916212E-2</c:v>
                </c:pt>
                <c:pt idx="514">
                  <c:v>4.1071832082695998E-2</c:v>
                </c:pt>
                <c:pt idx="515">
                  <c:v>3.995623886445699E-2</c:v>
                </c:pt>
                <c:pt idx="516">
                  <c:v>4.03837013859304E-2</c:v>
                </c:pt>
                <c:pt idx="517">
                  <c:v>3.8496977075004178E-2</c:v>
                </c:pt>
                <c:pt idx="518">
                  <c:v>3.901688317447214E-2</c:v>
                </c:pt>
                <c:pt idx="519">
                  <c:v>3.9332598415413436E-2</c:v>
                </c:pt>
                <c:pt idx="520">
                  <c:v>3.8738603167899545E-2</c:v>
                </c:pt>
                <c:pt idx="521">
                  <c:v>3.8510901203941669E-2</c:v>
                </c:pt>
                <c:pt idx="522">
                  <c:v>4.0227832206585684E-2</c:v>
                </c:pt>
                <c:pt idx="523">
                  <c:v>3.9350668137778246E-2</c:v>
                </c:pt>
                <c:pt idx="524">
                  <c:v>3.8940634807447416E-2</c:v>
                </c:pt>
                <c:pt idx="525">
                  <c:v>3.7759405623869008E-2</c:v>
                </c:pt>
                <c:pt idx="526">
                  <c:v>3.6250781683699725E-2</c:v>
                </c:pt>
                <c:pt idx="527">
                  <c:v>3.6069901235861596E-2</c:v>
                </c:pt>
                <c:pt idx="528">
                  <c:v>3.5294694657245836E-2</c:v>
                </c:pt>
                <c:pt idx="529">
                  <c:v>3.4169769560037991E-2</c:v>
                </c:pt>
                <c:pt idx="530">
                  <c:v>3.4719258316448356E-2</c:v>
                </c:pt>
                <c:pt idx="531">
                  <c:v>3.6251375295343037E-2</c:v>
                </c:pt>
                <c:pt idx="532">
                  <c:v>3.3413121389418036E-2</c:v>
                </c:pt>
                <c:pt idx="533">
                  <c:v>3.199328333891955E-2</c:v>
                </c:pt>
                <c:pt idx="534">
                  <c:v>3.0518846928113765E-2</c:v>
                </c:pt>
                <c:pt idx="535">
                  <c:v>3.0687758559755449E-2</c:v>
                </c:pt>
                <c:pt idx="536">
                  <c:v>3.0612324857000023E-2</c:v>
                </c:pt>
                <c:pt idx="537">
                  <c:v>3.0393752726251572E-2</c:v>
                </c:pt>
                <c:pt idx="538">
                  <c:v>3.0924710189782552E-2</c:v>
                </c:pt>
                <c:pt idx="539">
                  <c:v>3.0274783890298463E-2</c:v>
                </c:pt>
                <c:pt idx="540">
                  <c:v>3.0432165587290335E-2</c:v>
                </c:pt>
                <c:pt idx="541">
                  <c:v>2.8810408620699134E-2</c:v>
                </c:pt>
                <c:pt idx="542">
                  <c:v>2.7550541116362001E-2</c:v>
                </c:pt>
                <c:pt idx="543">
                  <c:v>2.6826240560602451E-2</c:v>
                </c:pt>
                <c:pt idx="544">
                  <c:v>2.705876731287167E-2</c:v>
                </c:pt>
                <c:pt idx="545">
                  <c:v>2.7172219608660762E-2</c:v>
                </c:pt>
                <c:pt idx="546">
                  <c:v>2.6137200117038246E-2</c:v>
                </c:pt>
                <c:pt idx="547">
                  <c:v>2.8229926293573192E-2</c:v>
                </c:pt>
                <c:pt idx="548">
                  <c:v>2.9821941850718712E-2</c:v>
                </c:pt>
                <c:pt idx="549">
                  <c:v>2.9609361141062676E-2</c:v>
                </c:pt>
                <c:pt idx="550">
                  <c:v>2.6759868159114287E-2</c:v>
                </c:pt>
                <c:pt idx="551">
                  <c:v>2.5759735232803307E-2</c:v>
                </c:pt>
                <c:pt idx="552">
                  <c:v>2.4644528748435358E-2</c:v>
                </c:pt>
                <c:pt idx="553">
                  <c:v>2.4752377690525202E-2</c:v>
                </c:pt>
                <c:pt idx="554">
                  <c:v>2.4180227636555977E-2</c:v>
                </c:pt>
                <c:pt idx="555">
                  <c:v>2.3416730722652154E-2</c:v>
                </c:pt>
                <c:pt idx="556">
                  <c:v>2.3498075444794882E-2</c:v>
                </c:pt>
                <c:pt idx="557">
                  <c:v>2.3707538544243893E-2</c:v>
                </c:pt>
                <c:pt idx="558">
                  <c:v>2.2816445623165846E-2</c:v>
                </c:pt>
                <c:pt idx="559">
                  <c:v>2.3848867536177334E-2</c:v>
                </c:pt>
                <c:pt idx="560">
                  <c:v>2.4199333978667935E-2</c:v>
                </c:pt>
                <c:pt idx="561">
                  <c:v>2.4659176642602663E-2</c:v>
                </c:pt>
                <c:pt idx="562">
                  <c:v>2.3143706530880659E-2</c:v>
                </c:pt>
                <c:pt idx="563">
                  <c:v>2.2625489002577364E-2</c:v>
                </c:pt>
                <c:pt idx="564">
                  <c:v>2.2845353011722299E-2</c:v>
                </c:pt>
                <c:pt idx="565">
                  <c:v>2.3704751130382212E-2</c:v>
                </c:pt>
                <c:pt idx="566">
                  <c:v>2.3137035708417034E-2</c:v>
                </c:pt>
                <c:pt idx="567">
                  <c:v>2.2973414965810554E-2</c:v>
                </c:pt>
                <c:pt idx="568">
                  <c:v>2.3828785125271344E-2</c:v>
                </c:pt>
                <c:pt idx="569">
                  <c:v>2.3374331835835333E-2</c:v>
                </c:pt>
                <c:pt idx="570">
                  <c:v>2.3387385062759728E-2</c:v>
                </c:pt>
                <c:pt idx="571">
                  <c:v>2.3326571857374537E-2</c:v>
                </c:pt>
                <c:pt idx="572">
                  <c:v>2.3867483193778866E-2</c:v>
                </c:pt>
                <c:pt idx="573">
                  <c:v>2.5400244967005575E-2</c:v>
                </c:pt>
                <c:pt idx="574">
                  <c:v>2.578506334750091E-2</c:v>
                </c:pt>
                <c:pt idx="575">
                  <c:v>2.6828180897469949E-2</c:v>
                </c:pt>
                <c:pt idx="576">
                  <c:v>2.7042471935060892E-2</c:v>
                </c:pt>
                <c:pt idx="577">
                  <c:v>2.7905941510518412E-2</c:v>
                </c:pt>
                <c:pt idx="578">
                  <c:v>3.0935006963433268E-2</c:v>
                </c:pt>
                <c:pt idx="579">
                  <c:v>3.1081092552847918E-2</c:v>
                </c:pt>
                <c:pt idx="580">
                  <c:v>2.9347335895126433E-2</c:v>
                </c:pt>
                <c:pt idx="581">
                  <c:v>3.0240227388606229E-2</c:v>
                </c:pt>
                <c:pt idx="582">
                  <c:v>3.1091589626149819E-2</c:v>
                </c:pt>
                <c:pt idx="583">
                  <c:v>3.1842754100715236E-2</c:v>
                </c:pt>
                <c:pt idx="584">
                  <c:v>3.6143629973821145E-2</c:v>
                </c:pt>
                <c:pt idx="585">
                  <c:v>3.4992719450917406E-2</c:v>
                </c:pt>
                <c:pt idx="586">
                  <c:v>3.3327663396768584E-2</c:v>
                </c:pt>
                <c:pt idx="587">
                  <c:v>3.2786935495889485E-2</c:v>
                </c:pt>
                <c:pt idx="588">
                  <c:v>3.3028148361904257E-2</c:v>
                </c:pt>
                <c:pt idx="589">
                  <c:v>3.4381151467874904E-2</c:v>
                </c:pt>
                <c:pt idx="590">
                  <c:v>3.3011874002986025E-2</c:v>
                </c:pt>
                <c:pt idx="591">
                  <c:v>3.4475764494862629E-2</c:v>
                </c:pt>
                <c:pt idx="592">
                  <c:v>3.5551627484754003E-2</c:v>
                </c:pt>
                <c:pt idx="593">
                  <c:v>3.789648361140209E-2</c:v>
                </c:pt>
                <c:pt idx="594">
                  <c:v>4.2620076958138374E-2</c:v>
                </c:pt>
                <c:pt idx="595">
                  <c:v>4.2393155471462267E-2</c:v>
                </c:pt>
                <c:pt idx="596">
                  <c:v>4.4712647195163872E-2</c:v>
                </c:pt>
                <c:pt idx="597">
                  <c:v>4.5545151605219179E-2</c:v>
                </c:pt>
                <c:pt idx="598">
                  <c:v>4.2829493660658198E-2</c:v>
                </c:pt>
                <c:pt idx="599">
                  <c:v>4.3287340103055863E-2</c:v>
                </c:pt>
                <c:pt idx="600">
                  <c:v>4.3671271605207826E-2</c:v>
                </c:pt>
                <c:pt idx="601">
                  <c:v>4.713845507966323E-2</c:v>
                </c:pt>
                <c:pt idx="602">
                  <c:v>4.6926944401913293E-2</c:v>
                </c:pt>
                <c:pt idx="603">
                  <c:v>4.4587243359301608E-2</c:v>
                </c:pt>
                <c:pt idx="604">
                  <c:v>4.2388902109501456E-2</c:v>
                </c:pt>
                <c:pt idx="605">
                  <c:v>4.0270256494902505E-2</c:v>
                </c:pt>
                <c:pt idx="606">
                  <c:v>4.0213405948328319E-2</c:v>
                </c:pt>
                <c:pt idx="607">
                  <c:v>4.0580707637653014E-2</c:v>
                </c:pt>
                <c:pt idx="608">
                  <c:v>3.9613865034858906E-2</c:v>
                </c:pt>
                <c:pt idx="609">
                  <c:v>3.893663114861446E-2</c:v>
                </c:pt>
                <c:pt idx="610">
                  <c:v>3.8540400691522744E-2</c:v>
                </c:pt>
                <c:pt idx="611">
                  <c:v>3.7544343843563956E-2</c:v>
                </c:pt>
                <c:pt idx="612">
                  <c:v>3.6155197893246498E-2</c:v>
                </c:pt>
                <c:pt idx="613">
                  <c:v>3.6165237766232435E-2</c:v>
                </c:pt>
                <c:pt idx="614">
                  <c:v>3.7193344984139697E-2</c:v>
                </c:pt>
                <c:pt idx="615">
                  <c:v>3.7173923113214595E-2</c:v>
                </c:pt>
                <c:pt idx="616">
                  <c:v>3.8605843700636508E-2</c:v>
                </c:pt>
                <c:pt idx="617">
                  <c:v>3.7876943721453352E-2</c:v>
                </c:pt>
                <c:pt idx="618">
                  <c:v>3.8916731534996571E-2</c:v>
                </c:pt>
                <c:pt idx="619">
                  <c:v>3.9722794910321019E-2</c:v>
                </c:pt>
                <c:pt idx="620">
                  <c:v>3.8958397718749982E-2</c:v>
                </c:pt>
                <c:pt idx="621">
                  <c:v>3.9352020709066363E-2</c:v>
                </c:pt>
                <c:pt idx="622">
                  <c:v>3.7785311005684309E-2</c:v>
                </c:pt>
                <c:pt idx="623">
                  <c:v>3.6839456532759808E-2</c:v>
                </c:pt>
                <c:pt idx="624">
                  <c:v>3.7612012289647466E-2</c:v>
                </c:pt>
                <c:pt idx="625">
                  <c:v>3.7390357737493406E-2</c:v>
                </c:pt>
                <c:pt idx="626">
                  <c:v>3.7966308660480071E-2</c:v>
                </c:pt>
                <c:pt idx="627">
                  <c:v>3.9356253586900959E-2</c:v>
                </c:pt>
                <c:pt idx="628">
                  <c:v>3.8986004909214611E-2</c:v>
                </c:pt>
                <c:pt idx="629">
                  <c:v>3.8360628067612548E-2</c:v>
                </c:pt>
                <c:pt idx="630">
                  <c:v>3.8040356958866588E-2</c:v>
                </c:pt>
                <c:pt idx="631">
                  <c:v>3.8307745518193381E-2</c:v>
                </c:pt>
                <c:pt idx="632">
                  <c:v>3.8864952195613582E-2</c:v>
                </c:pt>
                <c:pt idx="633">
                  <c:v>4.0198518415642252E-2</c:v>
                </c:pt>
                <c:pt idx="634">
                  <c:v>3.8562716188140986E-2</c:v>
                </c:pt>
                <c:pt idx="635">
                  <c:v>3.7816043164363072E-2</c:v>
                </c:pt>
                <c:pt idx="636">
                  <c:v>3.778046903559984E-2</c:v>
                </c:pt>
                <c:pt idx="637">
                  <c:v>3.8095782663808704E-2</c:v>
                </c:pt>
                <c:pt idx="638">
                  <c:v>3.7982610209268963E-2</c:v>
                </c:pt>
                <c:pt idx="639">
                  <c:v>3.8244894455622867E-2</c:v>
                </c:pt>
                <c:pt idx="640">
                  <c:v>3.898538096393795E-2</c:v>
                </c:pt>
                <c:pt idx="641">
                  <c:v>4.0404722400416523E-2</c:v>
                </c:pt>
                <c:pt idx="642">
                  <c:v>4.0491097463016774E-2</c:v>
                </c:pt>
                <c:pt idx="643">
                  <c:v>3.9917938997072182E-2</c:v>
                </c:pt>
                <c:pt idx="644">
                  <c:v>3.8995238634915524E-2</c:v>
                </c:pt>
                <c:pt idx="645">
                  <c:v>3.7681757558957321E-2</c:v>
                </c:pt>
                <c:pt idx="646">
                  <c:v>3.7136038592568754E-2</c:v>
                </c:pt>
                <c:pt idx="647">
                  <c:v>3.6653277509886083E-2</c:v>
                </c:pt>
                <c:pt idx="648">
                  <c:v>3.6754521830252025E-2</c:v>
                </c:pt>
                <c:pt idx="649">
                  <c:v>3.660967814422645E-2</c:v>
                </c:pt>
                <c:pt idx="650">
                  <c:v>3.812776572059861E-2</c:v>
                </c:pt>
                <c:pt idx="651">
                  <c:v>3.7069619428200008E-2</c:v>
                </c:pt>
                <c:pt idx="652">
                  <c:v>3.6299629620279251E-2</c:v>
                </c:pt>
                <c:pt idx="653">
                  <c:v>3.6472040897257245E-2</c:v>
                </c:pt>
                <c:pt idx="654">
                  <c:v>3.6482918037326194E-2</c:v>
                </c:pt>
                <c:pt idx="655">
                  <c:v>3.8242954692008543E-2</c:v>
                </c:pt>
                <c:pt idx="656">
                  <c:v>3.741710747631298E-2</c:v>
                </c:pt>
                <c:pt idx="657">
                  <c:v>3.660235274158883E-2</c:v>
                </c:pt>
                <c:pt idx="658">
                  <c:v>3.8866567590998664E-2</c:v>
                </c:pt>
                <c:pt idx="659">
                  <c:v>3.8527464725037604E-2</c:v>
                </c:pt>
                <c:pt idx="660">
                  <c:v>4.1627956550898813E-2</c:v>
                </c:pt>
                <c:pt idx="661">
                  <c:v>4.256177012779893E-2</c:v>
                </c:pt>
                <c:pt idx="662">
                  <c:v>4.4234456906726692E-2</c:v>
                </c:pt>
                <c:pt idx="663">
                  <c:v>4.2815476102156753E-2</c:v>
                </c:pt>
                <c:pt idx="664">
                  <c:v>4.2200445834142883E-2</c:v>
                </c:pt>
                <c:pt idx="665">
                  <c:v>4.4609374616279278E-2</c:v>
                </c:pt>
                <c:pt idx="666">
                  <c:v>4.7830397704538459E-2</c:v>
                </c:pt>
                <c:pt idx="667">
                  <c:v>4.6725440567252564E-2</c:v>
                </c:pt>
                <c:pt idx="668">
                  <c:v>4.9109319143839647E-2</c:v>
                </c:pt>
                <c:pt idx="669">
                  <c:v>6.1022654692519475E-2</c:v>
                </c:pt>
                <c:pt idx="670">
                  <c:v>6.5532262117604406E-2</c:v>
                </c:pt>
                <c:pt idx="671">
                  <c:v>6.5036078856931592E-2</c:v>
                </c:pt>
                <c:pt idx="672">
                  <c:v>6.5899369828025703E-2</c:v>
                </c:pt>
                <c:pt idx="673">
                  <c:v>7.0810588195665478E-2</c:v>
                </c:pt>
                <c:pt idx="674">
                  <c:v>7.5054408872532299E-2</c:v>
                </c:pt>
                <c:pt idx="675">
                  <c:v>6.6747357756425471E-2</c:v>
                </c:pt>
                <c:pt idx="676">
                  <c:v>6.251423857405633E-2</c:v>
                </c:pt>
                <c:pt idx="677">
                  <c:v>6.1034475214125736E-2</c:v>
                </c:pt>
                <c:pt idx="678">
                  <c:v>5.9899533566043647E-2</c:v>
                </c:pt>
                <c:pt idx="679">
                  <c:v>5.5266726113375284E-2</c:v>
                </c:pt>
                <c:pt idx="680">
                  <c:v>5.310138009090247E-2</c:v>
                </c:pt>
                <c:pt idx="681">
                  <c:v>5.1658206623856402E-2</c:v>
                </c:pt>
                <c:pt idx="682">
                  <c:v>5.0472521016324358E-2</c:v>
                </c:pt>
                <c:pt idx="683">
                  <c:v>4.9206843500283787E-2</c:v>
                </c:pt>
                <c:pt idx="684">
                  <c:v>4.8714284376062886E-2</c:v>
                </c:pt>
                <c:pt idx="685">
                  <c:v>5.0199444131949864E-2</c:v>
                </c:pt>
                <c:pt idx="686">
                  <c:v>4.7608616322478203E-2</c:v>
                </c:pt>
                <c:pt idx="687">
                  <c:v>4.5861365788216854E-2</c:v>
                </c:pt>
                <c:pt idx="688">
                  <c:v>4.8827961353794649E-2</c:v>
                </c:pt>
                <c:pt idx="689">
                  <c:v>5.065332698184094E-2</c:v>
                </c:pt>
                <c:pt idx="690">
                  <c:v>5.0842303241177965E-2</c:v>
                </c:pt>
                <c:pt idx="691">
                  <c:v>5.05809240002279E-2</c:v>
                </c:pt>
                <c:pt idx="692">
                  <c:v>4.906435445454025E-2</c:v>
                </c:pt>
                <c:pt idx="693">
                  <c:v>4.7080696330804056E-2</c:v>
                </c:pt>
                <c:pt idx="694">
                  <c:v>4.608141221173237E-2</c:v>
                </c:pt>
                <c:pt idx="695">
                  <c:v>4.4650073366034708E-2</c:v>
                </c:pt>
                <c:pt idx="696">
                  <c:v>4.351932148078233E-2</c:v>
                </c:pt>
                <c:pt idx="697">
                  <c:v>4.2571617385169611E-2</c:v>
                </c:pt>
                <c:pt idx="698">
                  <c:v>4.3669387672022032E-2</c:v>
                </c:pt>
                <c:pt idx="699">
                  <c:v>4.3207874543415896E-2</c:v>
                </c:pt>
                <c:pt idx="700">
                  <c:v>4.3366090693529348E-2</c:v>
                </c:pt>
                <c:pt idx="701">
                  <c:v>4.5247166816110407E-2</c:v>
                </c:pt>
                <c:pt idx="702">
                  <c:v>4.4226297345985953E-2</c:v>
                </c:pt>
                <c:pt idx="703">
                  <c:v>4.9875678085139645E-2</c:v>
                </c:pt>
                <c:pt idx="704">
                  <c:v>5.0766280016462224E-2</c:v>
                </c:pt>
                <c:pt idx="705">
                  <c:v>4.961344973887731E-2</c:v>
                </c:pt>
                <c:pt idx="706">
                  <c:v>4.9151529590474738E-2</c:v>
                </c:pt>
                <c:pt idx="707">
                  <c:v>4.8724453496306747E-2</c:v>
                </c:pt>
                <c:pt idx="708">
                  <c:v>4.7140886180418347E-2</c:v>
                </c:pt>
                <c:pt idx="709">
                  <c:v>4.5876955512773578E-2</c:v>
                </c:pt>
                <c:pt idx="710">
                  <c:v>4.53433635828853E-2</c:v>
                </c:pt>
                <c:pt idx="711">
                  <c:v>4.5915269902497557E-2</c:v>
                </c:pt>
                <c:pt idx="712">
                  <c:v>4.7752145537671674E-2</c:v>
                </c:pt>
                <c:pt idx="713">
                  <c:v>4.8667711454048773E-2</c:v>
                </c:pt>
                <c:pt idx="714">
                  <c:v>4.762054133170459E-2</c:v>
                </c:pt>
                <c:pt idx="715">
                  <c:v>4.6706211516248E-2</c:v>
                </c:pt>
                <c:pt idx="716">
                  <c:v>4.5905904194786011E-2</c:v>
                </c:pt>
                <c:pt idx="717">
                  <c:v>4.6345410298738121E-2</c:v>
                </c:pt>
                <c:pt idx="718">
                  <c:v>4.7851097964947034E-2</c:v>
                </c:pt>
                <c:pt idx="719">
                  <c:v>4.7084833989722262E-2</c:v>
                </c:pt>
                <c:pt idx="720">
                  <c:v>4.5661109227285591E-2</c:v>
                </c:pt>
                <c:pt idx="721">
                  <c:v>4.5345871318423152E-2</c:v>
                </c:pt>
                <c:pt idx="722">
                  <c:v>4.4604610452465915E-2</c:v>
                </c:pt>
                <c:pt idx="723">
                  <c:v>4.4256295401475812E-2</c:v>
                </c:pt>
                <c:pt idx="724">
                  <c:v>4.2713427218510139E-2</c:v>
                </c:pt>
                <c:pt idx="725">
                  <c:v>4.3619867698926625E-2</c:v>
                </c:pt>
                <c:pt idx="726">
                  <c:v>4.2566848787179909E-2</c:v>
                </c:pt>
                <c:pt idx="727">
                  <c:v>4.2814360738829799E-2</c:v>
                </c:pt>
                <c:pt idx="728">
                  <c:v>4.2657953672998919E-2</c:v>
                </c:pt>
                <c:pt idx="729">
                  <c:v>4.1955569417817293E-2</c:v>
                </c:pt>
                <c:pt idx="730">
                  <c:v>4.0580994704700703E-2</c:v>
                </c:pt>
                <c:pt idx="731">
                  <c:v>4.0222237035986229E-2</c:v>
                </c:pt>
                <c:pt idx="732">
                  <c:v>4.0225893988660118E-2</c:v>
                </c:pt>
                <c:pt idx="733">
                  <c:v>4.0665398352160154E-2</c:v>
                </c:pt>
                <c:pt idx="734">
                  <c:v>4.0070461255110892E-2</c:v>
                </c:pt>
                <c:pt idx="735">
                  <c:v>4.0344842869325478E-2</c:v>
                </c:pt>
                <c:pt idx="736">
                  <c:v>4.0090967833408694E-2</c:v>
                </c:pt>
                <c:pt idx="737">
                  <c:v>3.9126680558623887E-2</c:v>
                </c:pt>
                <c:pt idx="738">
                  <c:v>3.873334827885859E-2</c:v>
                </c:pt>
                <c:pt idx="739">
                  <c:v>3.9035653196273896E-2</c:v>
                </c:pt>
                <c:pt idx="740">
                  <c:v>3.858257363835365E-2</c:v>
                </c:pt>
                <c:pt idx="741">
                  <c:v>3.9741286951246645E-2</c:v>
                </c:pt>
                <c:pt idx="742">
                  <c:v>3.7584352704410684E-2</c:v>
                </c:pt>
                <c:pt idx="743">
                  <c:v>3.7321669390448939E-2</c:v>
                </c:pt>
                <c:pt idx="744">
                  <c:v>3.7746823524797406E-2</c:v>
                </c:pt>
                <c:pt idx="745">
                  <c:v>3.7043192107244348E-2</c:v>
                </c:pt>
                <c:pt idx="746">
                  <c:v>3.7413100423854588E-2</c:v>
                </c:pt>
                <c:pt idx="747">
                  <c:v>3.7325449847695952E-2</c:v>
                </c:pt>
                <c:pt idx="748">
                  <c:v>3.7304925949055212E-2</c:v>
                </c:pt>
                <c:pt idx="749">
                  <c:v>3.774169504180945E-2</c:v>
                </c:pt>
                <c:pt idx="750">
                  <c:v>3.7905872864931821E-2</c:v>
                </c:pt>
                <c:pt idx="751">
                  <c:v>3.892010953707209E-2</c:v>
                </c:pt>
                <c:pt idx="752">
                  <c:v>4.0821738042677969E-2</c:v>
                </c:pt>
                <c:pt idx="753">
                  <c:v>3.9228853252856681E-2</c:v>
                </c:pt>
                <c:pt idx="754">
                  <c:v>3.8130315238462963E-2</c:v>
                </c:pt>
                <c:pt idx="755">
                  <c:v>3.8512754444920513E-2</c:v>
                </c:pt>
                <c:pt idx="756">
                  <c:v>4.1311786024504256E-2</c:v>
                </c:pt>
                <c:pt idx="757">
                  <c:v>4.1662141503153623E-2</c:v>
                </c:pt>
                <c:pt idx="758">
                  <c:v>3.9413062843440316E-2</c:v>
                </c:pt>
                <c:pt idx="759">
                  <c:v>3.8576767944449579E-2</c:v>
                </c:pt>
                <c:pt idx="760">
                  <c:v>3.8918516806736227E-2</c:v>
                </c:pt>
                <c:pt idx="761">
                  <c:v>3.8699131889430867E-2</c:v>
                </c:pt>
                <c:pt idx="762">
                  <c:v>3.7461597288582886E-2</c:v>
                </c:pt>
                <c:pt idx="763">
                  <c:v>3.7107303931150692E-2</c:v>
                </c:pt>
                <c:pt idx="764">
                  <c:v>3.7414125210667115E-2</c:v>
                </c:pt>
                <c:pt idx="765">
                  <c:v>3.7700079384787179E-2</c:v>
                </c:pt>
                <c:pt idx="766">
                  <c:v>3.7242625251404322E-2</c:v>
                </c:pt>
                <c:pt idx="767">
                  <c:v>3.5887187332483611E-2</c:v>
                </c:pt>
                <c:pt idx="768">
                  <c:v>3.5633380452146861E-2</c:v>
                </c:pt>
                <c:pt idx="769">
                  <c:v>3.4897793840728844E-2</c:v>
                </c:pt>
                <c:pt idx="770">
                  <c:v>3.4379712258794229E-2</c:v>
                </c:pt>
                <c:pt idx="771">
                  <c:v>3.4596993172309284E-2</c:v>
                </c:pt>
                <c:pt idx="772">
                  <c:v>3.4114155196993831E-2</c:v>
                </c:pt>
                <c:pt idx="773">
                  <c:v>3.3615136597330515E-2</c:v>
                </c:pt>
                <c:pt idx="774">
                  <c:v>3.3330866022621544E-2</c:v>
                </c:pt>
                <c:pt idx="775">
                  <c:v>3.3428091501392906E-2</c:v>
                </c:pt>
                <c:pt idx="776">
                  <c:v>3.3147580468138899E-2</c:v>
                </c:pt>
                <c:pt idx="777">
                  <c:v>3.2341115153687719E-2</c:v>
                </c:pt>
                <c:pt idx="778">
                  <c:v>3.1949991021494199E-2</c:v>
                </c:pt>
                <c:pt idx="779">
                  <c:v>3.1166112504923741E-2</c:v>
                </c:pt>
                <c:pt idx="780">
                  <c:v>3.0023408806271235E-2</c:v>
                </c:pt>
                <c:pt idx="781">
                  <c:v>3.1215485097388168E-2</c:v>
                </c:pt>
                <c:pt idx="782">
                  <c:v>3.1438227488454457E-2</c:v>
                </c:pt>
                <c:pt idx="783">
                  <c:v>3.2289125307567147E-2</c:v>
                </c:pt>
                <c:pt idx="784">
                  <c:v>3.1907586372001376E-2</c:v>
                </c:pt>
                <c:pt idx="785">
                  <c:v>3.1416138088445809E-2</c:v>
                </c:pt>
                <c:pt idx="786">
                  <c:v>3.1060140293571684E-2</c:v>
                </c:pt>
                <c:pt idx="787">
                  <c:v>3.0454087414930841E-2</c:v>
                </c:pt>
              </c:numCache>
            </c:numRef>
          </c:yVal>
          <c:smooth val="0"/>
          <c:extLst>
            <c:ext xmlns:c16="http://schemas.microsoft.com/office/drawing/2014/chart" uri="{C3380CC4-5D6E-409C-BE32-E72D297353CC}">
              <c16:uniqueId val="{00000000-BB8C-624B-B56A-6CA2259B2EA4}"/>
            </c:ext>
          </c:extLst>
        </c:ser>
        <c:dLbls>
          <c:showLegendKey val="0"/>
          <c:showVal val="0"/>
          <c:showCatName val="0"/>
          <c:showSerName val="0"/>
          <c:showPercent val="0"/>
          <c:showBubbleSize val="0"/>
        </c:dLbls>
        <c:axId val="1006374304"/>
        <c:axId val="1022969168"/>
      </c:scatterChart>
      <c:valAx>
        <c:axId val="10063743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10-Year</a:t>
                </a:r>
                <a:r>
                  <a:rPr lang="en-US" baseline="0"/>
                  <a:t> Treasury Yield</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969168"/>
        <c:crosses val="autoZero"/>
        <c:crossBetween val="midCat"/>
      </c:valAx>
      <c:valAx>
        <c:axId val="1022969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1/CAPE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374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US" sz="1800"/>
              <a:t>Equity</a:t>
            </a:r>
            <a:r>
              <a:rPr lang="en-US" sz="1800" baseline="0"/>
              <a:t> Risk Sentiment = CAPE - 1/10YrT + 10</a:t>
            </a:r>
            <a:endParaRPr lang="en-US" sz="1800"/>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ERS</c:v>
          </c:tx>
          <c:spPr>
            <a:ln w="28575" cap="rnd">
              <a:solidFill>
                <a:schemeClr val="accent1"/>
              </a:solidFill>
              <a:round/>
            </a:ln>
            <a:effectLst/>
          </c:spPr>
          <c:marker>
            <c:symbol val="none"/>
          </c:marker>
          <c:cat>
            <c:numRef>
              <c:f>'annual return'!$A$20:$A$158</c:f>
              <c:numCache>
                <c:formatCode>General</c:formatCode>
                <c:ptCount val="139"/>
                <c:pt idx="0">
                  <c:v>1881</c:v>
                </c:pt>
                <c:pt idx="1">
                  <c:v>1882</c:v>
                </c:pt>
                <c:pt idx="2">
                  <c:v>1883</c:v>
                </c:pt>
                <c:pt idx="3">
                  <c:v>1884</c:v>
                </c:pt>
                <c:pt idx="4">
                  <c:v>1885</c:v>
                </c:pt>
                <c:pt idx="5">
                  <c:v>1886</c:v>
                </c:pt>
                <c:pt idx="6">
                  <c:v>1887</c:v>
                </c:pt>
                <c:pt idx="7">
                  <c:v>1888</c:v>
                </c:pt>
                <c:pt idx="8">
                  <c:v>1889</c:v>
                </c:pt>
                <c:pt idx="9">
                  <c:v>1890</c:v>
                </c:pt>
                <c:pt idx="10">
                  <c:v>1891</c:v>
                </c:pt>
                <c:pt idx="11">
                  <c:v>1892</c:v>
                </c:pt>
                <c:pt idx="12">
                  <c:v>1893</c:v>
                </c:pt>
                <c:pt idx="13">
                  <c:v>1894</c:v>
                </c:pt>
                <c:pt idx="14">
                  <c:v>1895</c:v>
                </c:pt>
                <c:pt idx="15">
                  <c:v>1896</c:v>
                </c:pt>
                <c:pt idx="16">
                  <c:v>1897</c:v>
                </c:pt>
                <c:pt idx="17">
                  <c:v>1898</c:v>
                </c:pt>
                <c:pt idx="18">
                  <c:v>1899</c:v>
                </c:pt>
                <c:pt idx="19">
                  <c:v>1900</c:v>
                </c:pt>
                <c:pt idx="20">
                  <c:v>1901</c:v>
                </c:pt>
                <c:pt idx="21">
                  <c:v>1902</c:v>
                </c:pt>
                <c:pt idx="22">
                  <c:v>1903</c:v>
                </c:pt>
                <c:pt idx="23">
                  <c:v>1904</c:v>
                </c:pt>
                <c:pt idx="24">
                  <c:v>1905</c:v>
                </c:pt>
                <c:pt idx="25">
                  <c:v>1906</c:v>
                </c:pt>
                <c:pt idx="26">
                  <c:v>1907</c:v>
                </c:pt>
                <c:pt idx="27">
                  <c:v>1908</c:v>
                </c:pt>
                <c:pt idx="28">
                  <c:v>1909</c:v>
                </c:pt>
                <c:pt idx="29">
                  <c:v>1910</c:v>
                </c:pt>
                <c:pt idx="30">
                  <c:v>1911</c:v>
                </c:pt>
                <c:pt idx="31">
                  <c:v>1912</c:v>
                </c:pt>
                <c:pt idx="32">
                  <c:v>1913</c:v>
                </c:pt>
                <c:pt idx="33">
                  <c:v>1914</c:v>
                </c:pt>
                <c:pt idx="34">
                  <c:v>1915</c:v>
                </c:pt>
                <c:pt idx="35">
                  <c:v>1916</c:v>
                </c:pt>
                <c:pt idx="36">
                  <c:v>1917</c:v>
                </c:pt>
                <c:pt idx="37">
                  <c:v>1918</c:v>
                </c:pt>
                <c:pt idx="38">
                  <c:v>1919</c:v>
                </c:pt>
                <c:pt idx="39">
                  <c:v>1920</c:v>
                </c:pt>
                <c:pt idx="40">
                  <c:v>1921</c:v>
                </c:pt>
                <c:pt idx="41">
                  <c:v>1922</c:v>
                </c:pt>
                <c:pt idx="42">
                  <c:v>1923</c:v>
                </c:pt>
                <c:pt idx="43">
                  <c:v>1924</c:v>
                </c:pt>
                <c:pt idx="44">
                  <c:v>1925</c:v>
                </c:pt>
                <c:pt idx="45">
                  <c:v>1926</c:v>
                </c:pt>
                <c:pt idx="46">
                  <c:v>1927</c:v>
                </c:pt>
                <c:pt idx="47">
                  <c:v>1928</c:v>
                </c:pt>
                <c:pt idx="48">
                  <c:v>1929</c:v>
                </c:pt>
                <c:pt idx="49">
                  <c:v>1930</c:v>
                </c:pt>
                <c:pt idx="50">
                  <c:v>1931</c:v>
                </c:pt>
                <c:pt idx="51">
                  <c:v>1932</c:v>
                </c:pt>
                <c:pt idx="52">
                  <c:v>1933</c:v>
                </c:pt>
                <c:pt idx="53">
                  <c:v>1934</c:v>
                </c:pt>
                <c:pt idx="54">
                  <c:v>1935</c:v>
                </c:pt>
                <c:pt idx="55">
                  <c:v>1936</c:v>
                </c:pt>
                <c:pt idx="56">
                  <c:v>1937</c:v>
                </c:pt>
                <c:pt idx="57">
                  <c:v>1938</c:v>
                </c:pt>
                <c:pt idx="58">
                  <c:v>1939</c:v>
                </c:pt>
                <c:pt idx="59">
                  <c:v>1940</c:v>
                </c:pt>
                <c:pt idx="60">
                  <c:v>1941</c:v>
                </c:pt>
                <c:pt idx="61">
                  <c:v>1942</c:v>
                </c:pt>
                <c:pt idx="62">
                  <c:v>1943</c:v>
                </c:pt>
                <c:pt idx="63">
                  <c:v>1944</c:v>
                </c:pt>
                <c:pt idx="64">
                  <c:v>1945</c:v>
                </c:pt>
                <c:pt idx="65">
                  <c:v>1946</c:v>
                </c:pt>
                <c:pt idx="66">
                  <c:v>1947</c:v>
                </c:pt>
                <c:pt idx="67">
                  <c:v>1948</c:v>
                </c:pt>
                <c:pt idx="68">
                  <c:v>1949</c:v>
                </c:pt>
                <c:pt idx="69">
                  <c:v>1950</c:v>
                </c:pt>
                <c:pt idx="70">
                  <c:v>1951</c:v>
                </c:pt>
                <c:pt idx="71">
                  <c:v>1952</c:v>
                </c:pt>
                <c:pt idx="72">
                  <c:v>1953</c:v>
                </c:pt>
                <c:pt idx="73">
                  <c:v>1954</c:v>
                </c:pt>
                <c:pt idx="74">
                  <c:v>1955</c:v>
                </c:pt>
                <c:pt idx="75">
                  <c:v>1956</c:v>
                </c:pt>
                <c:pt idx="76">
                  <c:v>1957</c:v>
                </c:pt>
                <c:pt idx="77">
                  <c:v>1958</c:v>
                </c:pt>
                <c:pt idx="78">
                  <c:v>1959</c:v>
                </c:pt>
                <c:pt idx="79">
                  <c:v>1960</c:v>
                </c:pt>
                <c:pt idx="80">
                  <c:v>1961</c:v>
                </c:pt>
                <c:pt idx="81">
                  <c:v>1962</c:v>
                </c:pt>
                <c:pt idx="82">
                  <c:v>1963</c:v>
                </c:pt>
                <c:pt idx="83">
                  <c:v>1964</c:v>
                </c:pt>
                <c:pt idx="84">
                  <c:v>1965</c:v>
                </c:pt>
                <c:pt idx="85">
                  <c:v>1966</c:v>
                </c:pt>
                <c:pt idx="86">
                  <c:v>1967</c:v>
                </c:pt>
                <c:pt idx="87">
                  <c:v>1968</c:v>
                </c:pt>
                <c:pt idx="88">
                  <c:v>1969</c:v>
                </c:pt>
                <c:pt idx="89">
                  <c:v>1970</c:v>
                </c:pt>
                <c:pt idx="90">
                  <c:v>1971</c:v>
                </c:pt>
                <c:pt idx="91">
                  <c:v>1972</c:v>
                </c:pt>
                <c:pt idx="92">
                  <c:v>1973</c:v>
                </c:pt>
                <c:pt idx="93">
                  <c:v>1974</c:v>
                </c:pt>
                <c:pt idx="94">
                  <c:v>1975</c:v>
                </c:pt>
                <c:pt idx="95">
                  <c:v>1976</c:v>
                </c:pt>
                <c:pt idx="96">
                  <c:v>1977</c:v>
                </c:pt>
                <c:pt idx="97">
                  <c:v>1978</c:v>
                </c:pt>
                <c:pt idx="98">
                  <c:v>1979</c:v>
                </c:pt>
                <c:pt idx="99">
                  <c:v>1980</c:v>
                </c:pt>
                <c:pt idx="100">
                  <c:v>1981</c:v>
                </c:pt>
                <c:pt idx="101">
                  <c:v>1982</c:v>
                </c:pt>
                <c:pt idx="102">
                  <c:v>1983</c:v>
                </c:pt>
                <c:pt idx="103">
                  <c:v>1984</c:v>
                </c:pt>
                <c:pt idx="104">
                  <c:v>1985</c:v>
                </c:pt>
                <c:pt idx="105">
                  <c:v>1986</c:v>
                </c:pt>
                <c:pt idx="106">
                  <c:v>1987</c:v>
                </c:pt>
                <c:pt idx="107">
                  <c:v>1988</c:v>
                </c:pt>
                <c:pt idx="108">
                  <c:v>1989</c:v>
                </c:pt>
                <c:pt idx="109">
                  <c:v>1990</c:v>
                </c:pt>
                <c:pt idx="110">
                  <c:v>1991</c:v>
                </c:pt>
                <c:pt idx="111">
                  <c:v>1992</c:v>
                </c:pt>
                <c:pt idx="112">
                  <c:v>1993</c:v>
                </c:pt>
                <c:pt idx="113">
                  <c:v>1994</c:v>
                </c:pt>
                <c:pt idx="114">
                  <c:v>1995</c:v>
                </c:pt>
                <c:pt idx="115">
                  <c:v>1996</c:v>
                </c:pt>
                <c:pt idx="116">
                  <c:v>1997</c:v>
                </c:pt>
                <c:pt idx="117">
                  <c:v>1998</c:v>
                </c:pt>
                <c:pt idx="118">
                  <c:v>1999</c:v>
                </c:pt>
                <c:pt idx="119">
                  <c:v>2000</c:v>
                </c:pt>
                <c:pt idx="120">
                  <c:v>2001</c:v>
                </c:pt>
                <c:pt idx="121">
                  <c:v>2002</c:v>
                </c:pt>
                <c:pt idx="122">
                  <c:v>2003</c:v>
                </c:pt>
                <c:pt idx="123">
                  <c:v>2004</c:v>
                </c:pt>
                <c:pt idx="124">
                  <c:v>2005</c:v>
                </c:pt>
                <c:pt idx="125">
                  <c:v>2006</c:v>
                </c:pt>
                <c:pt idx="126">
                  <c:v>2007</c:v>
                </c:pt>
                <c:pt idx="127">
                  <c:v>2008</c:v>
                </c:pt>
                <c:pt idx="128">
                  <c:v>2009</c:v>
                </c:pt>
                <c:pt idx="129">
                  <c:v>2010</c:v>
                </c:pt>
                <c:pt idx="130">
                  <c:v>2011</c:v>
                </c:pt>
                <c:pt idx="131">
                  <c:v>2012</c:v>
                </c:pt>
                <c:pt idx="132">
                  <c:v>2013</c:v>
                </c:pt>
                <c:pt idx="133">
                  <c:v>2014</c:v>
                </c:pt>
                <c:pt idx="134">
                  <c:v>2015</c:v>
                </c:pt>
                <c:pt idx="135">
                  <c:v>2016</c:v>
                </c:pt>
                <c:pt idx="136">
                  <c:v>2017</c:v>
                </c:pt>
                <c:pt idx="137">
                  <c:v>2018</c:v>
                </c:pt>
              </c:numCache>
            </c:numRef>
          </c:cat>
          <c:val>
            <c:numRef>
              <c:f>'annual return'!$O$20:$O$158</c:f>
              <c:numCache>
                <c:formatCode>0.00</c:formatCode>
                <c:ptCount val="139"/>
                <c:pt idx="0">
                  <c:v>1.446925274377918</c:v>
                </c:pt>
                <c:pt idx="1">
                  <c:v>-1.9455452322364497</c:v>
                </c:pt>
                <c:pt idx="2">
                  <c:v>-2.2779502472926119</c:v>
                </c:pt>
                <c:pt idx="3">
                  <c:v>-3.1914876702944674</c:v>
                </c:pt>
                <c:pt idx="4">
                  <c:v>-5.2792734834549471</c:v>
                </c:pt>
                <c:pt idx="5">
                  <c:v>-2.9812730336533839</c:v>
                </c:pt>
                <c:pt idx="6">
                  <c:v>-0.89686881278595365</c:v>
                </c:pt>
                <c:pt idx="7">
                  <c:v>-1.8892938890098456</c:v>
                </c:pt>
                <c:pt idx="8">
                  <c:v>-3.1832211753486437</c:v>
                </c:pt>
                <c:pt idx="9">
                  <c:v>-2.0196940996894419</c:v>
                </c:pt>
                <c:pt idx="10">
                  <c:v>-2.1953293057960952</c:v>
                </c:pt>
                <c:pt idx="11">
                  <c:v>1.2386106264474961</c:v>
                </c:pt>
                <c:pt idx="12">
                  <c:v>0.98997704143210896</c:v>
                </c:pt>
                <c:pt idx="13">
                  <c:v>-1.287157675078797</c:v>
                </c:pt>
                <c:pt idx="14">
                  <c:v>-2.3772901688835262</c:v>
                </c:pt>
                <c:pt idx="15">
                  <c:v>-1.2015529492095887</c:v>
                </c:pt>
                <c:pt idx="16">
                  <c:v>-2.3852434235017945</c:v>
                </c:pt>
                <c:pt idx="17">
                  <c:v>-0.60174624684296418</c:v>
                </c:pt>
                <c:pt idx="18">
                  <c:v>0.67474290035815088</c:v>
                </c:pt>
                <c:pt idx="19">
                  <c:v>-3.0717563835869655</c:v>
                </c:pt>
                <c:pt idx="20">
                  <c:v>-1.2794826815928388</c:v>
                </c:pt>
                <c:pt idx="21">
                  <c:v>0.89374991553042449</c:v>
                </c:pt>
                <c:pt idx="22">
                  <c:v>1.5101750798187652E-2</c:v>
                </c:pt>
                <c:pt idx="23">
                  <c:v>-3.549930791848718</c:v>
                </c:pt>
                <c:pt idx="24">
                  <c:v>-0.27578015145219936</c:v>
                </c:pt>
                <c:pt idx="25">
                  <c:v>0.9778833103705793</c:v>
                </c:pt>
                <c:pt idx="26">
                  <c:v>-2.9042549563779829E-2</c:v>
                </c:pt>
                <c:pt idx="27">
                  <c:v>-3.9368246533867701</c:v>
                </c:pt>
                <c:pt idx="28">
                  <c:v>-1.831326224409711</c:v>
                </c:pt>
                <c:pt idx="29">
                  <c:v>-1.027562529768332</c:v>
                </c:pt>
                <c:pt idx="30">
                  <c:v>-1.0764129593023135</c:v>
                </c:pt>
                <c:pt idx="31">
                  <c:v>-1.1427032285033061</c:v>
                </c:pt>
                <c:pt idx="32">
                  <c:v>0.67617867940201393</c:v>
                </c:pt>
                <c:pt idx="33">
                  <c:v>-2.4023694334153998</c:v>
                </c:pt>
                <c:pt idx="34">
                  <c:v>-3.2250714626200896</c:v>
                </c:pt>
                <c:pt idx="35">
                  <c:v>-2.1477943321751809</c:v>
                </c:pt>
                <c:pt idx="36">
                  <c:v>-2.6483005111508469</c:v>
                </c:pt>
                <c:pt idx="37">
                  <c:v>-5.2411920457428991</c:v>
                </c:pt>
                <c:pt idx="38">
                  <c:v>-6.1237545822721167</c:v>
                </c:pt>
                <c:pt idx="39">
                  <c:v>-4.1310565749370198</c:v>
                </c:pt>
                <c:pt idx="40">
                  <c:v>-4.5241812755094841</c:v>
                </c:pt>
                <c:pt idx="41">
                  <c:v>-6.968726663141247</c:v>
                </c:pt>
                <c:pt idx="42">
                  <c:v>-4.7815793334446042</c:v>
                </c:pt>
                <c:pt idx="43">
                  <c:v>-6.5582924258838062</c:v>
                </c:pt>
                <c:pt idx="44">
                  <c:v>-6.2141168990403415</c:v>
                </c:pt>
                <c:pt idx="45">
                  <c:v>-5.83294685497202</c:v>
                </c:pt>
                <c:pt idx="46">
                  <c:v>-6.754189131801251</c:v>
                </c:pt>
                <c:pt idx="47">
                  <c:v>-1.2239014583292622</c:v>
                </c:pt>
                <c:pt idx="48">
                  <c:v>9.3054218430549902</c:v>
                </c:pt>
                <c:pt idx="49">
                  <c:v>1.9155875162213469</c:v>
                </c:pt>
                <c:pt idx="50">
                  <c:v>-3.2346410289314349</c:v>
                </c:pt>
                <c:pt idx="51">
                  <c:v>-7.8615065883004149</c:v>
                </c:pt>
                <c:pt idx="52">
                  <c:v>-11.483434199724236</c:v>
                </c:pt>
                <c:pt idx="53">
                  <c:v>-9.0261622229496723</c:v>
                </c:pt>
                <c:pt idx="54">
                  <c:v>-14.346385938608435</c:v>
                </c:pt>
                <c:pt idx="55">
                  <c:v>-10.648489210606531</c:v>
                </c:pt>
                <c:pt idx="56">
                  <c:v>-5.6946912528673757</c:v>
                </c:pt>
                <c:pt idx="57">
                  <c:v>-15.551038081437582</c:v>
                </c:pt>
                <c:pt idx="58">
                  <c:v>-16.773246945012925</c:v>
                </c:pt>
                <c:pt idx="59">
                  <c:v>-18.870388435666882</c:v>
                </c:pt>
                <c:pt idx="60">
                  <c:v>-27.377893014100451</c:v>
                </c:pt>
                <c:pt idx="61">
                  <c:v>-20.548720072135787</c:v>
                </c:pt>
                <c:pt idx="62">
                  <c:v>-20.335295739082088</c:v>
                </c:pt>
                <c:pt idx="63">
                  <c:v>-19.27016788118382</c:v>
                </c:pt>
                <c:pt idx="64">
                  <c:v>-20.233629387197226</c:v>
                </c:pt>
                <c:pt idx="65">
                  <c:v>-20.03893727885934</c:v>
                </c:pt>
                <c:pt idx="66">
                  <c:v>-22.975148109708869</c:v>
                </c:pt>
                <c:pt idx="67">
                  <c:v>-20.56426390005673</c:v>
                </c:pt>
                <c:pt idx="68">
                  <c:v>-23.041757532004311</c:v>
                </c:pt>
                <c:pt idx="69">
                  <c:v>-22.357714976114167</c:v>
                </c:pt>
                <c:pt idx="70">
                  <c:v>-17.014745997138817</c:v>
                </c:pt>
                <c:pt idx="71">
                  <c:v>-14.786373087648592</c:v>
                </c:pt>
                <c:pt idx="72">
                  <c:v>-12.324915597941221</c:v>
                </c:pt>
                <c:pt idx="73">
                  <c:v>-18.319930090233463</c:v>
                </c:pt>
                <c:pt idx="74">
                  <c:v>-12.323395182240894</c:v>
                </c:pt>
                <c:pt idx="75">
                  <c:v>-6.190173235270759</c:v>
                </c:pt>
                <c:pt idx="76">
                  <c:v>-2.1839540255132341</c:v>
                </c:pt>
                <c:pt idx="77">
                  <c:v>-8.5740279946179356</c:v>
                </c:pt>
                <c:pt idx="78">
                  <c:v>3.1047174524461241</c:v>
                </c:pt>
                <c:pt idx="79">
                  <c:v>7.1518443164094627</c:v>
                </c:pt>
                <c:pt idx="80">
                  <c:v>2.4287503198105078</c:v>
                </c:pt>
                <c:pt idx="81">
                  <c:v>6.6881274784465958</c:v>
                </c:pt>
                <c:pt idx="82">
                  <c:v>3.1495711188415179</c:v>
                </c:pt>
                <c:pt idx="83">
                  <c:v>7.6464008492591056</c:v>
                </c:pt>
                <c:pt idx="84">
                  <c:v>9.4029866332351197</c:v>
                </c:pt>
                <c:pt idx="85">
                  <c:v>12.366509418790514</c:v>
                </c:pt>
                <c:pt idx="86">
                  <c:v>8.5981809900131019</c:v>
                </c:pt>
                <c:pt idx="87">
                  <c:v>13.428353256187524</c:v>
                </c:pt>
                <c:pt idx="88">
                  <c:v>14.638676682118682</c:v>
                </c:pt>
                <c:pt idx="89">
                  <c:v>14.253570920172306</c:v>
                </c:pt>
                <c:pt idx="90">
                  <c:v>10.436152917850919</c:v>
                </c:pt>
                <c:pt idx="91">
                  <c:v>10.45627410795954</c:v>
                </c:pt>
                <c:pt idx="92">
                  <c:v>13.232654306311721</c:v>
                </c:pt>
                <c:pt idx="93">
                  <c:v>9.2245702473065094</c:v>
                </c:pt>
                <c:pt idx="94">
                  <c:v>5.5876621750709159</c:v>
                </c:pt>
                <c:pt idx="95">
                  <c:v>8.265154721795275</c:v>
                </c:pt>
                <c:pt idx="96">
                  <c:v>7.5683358266765914</c:v>
                </c:pt>
                <c:pt idx="97">
                  <c:v>6.6786481905829316</c:v>
                </c:pt>
                <c:pt idx="98">
                  <c:v>8.2686259301289837</c:v>
                </c:pt>
                <c:pt idx="99">
                  <c:v>9.5916749214698491</c:v>
                </c:pt>
                <c:pt idx="100">
                  <c:v>11.303955047982168</c:v>
                </c:pt>
                <c:pt idx="101">
                  <c:v>10.53465037776256</c:v>
                </c:pt>
                <c:pt idx="102">
                  <c:v>9.1965537786280525</c:v>
                </c:pt>
                <c:pt idx="103">
                  <c:v>11.325951517857208</c:v>
                </c:pt>
                <c:pt idx="104">
                  <c:v>11.209654956289329</c:v>
                </c:pt>
                <c:pt idx="105">
                  <c:v>10.833614766207244</c:v>
                </c:pt>
                <c:pt idx="106">
                  <c:v>10.797914318408214</c:v>
                </c:pt>
                <c:pt idx="107">
                  <c:v>12.364311308713312</c:v>
                </c:pt>
                <c:pt idx="108">
                  <c:v>14.086972332702283</c:v>
                </c:pt>
                <c:pt idx="109">
                  <c:v>14.868575640983023</c:v>
                </c:pt>
                <c:pt idx="110">
                  <c:v>13.245250687405576</c:v>
                </c:pt>
                <c:pt idx="111">
                  <c:v>15.54831714460631</c:v>
                </c:pt>
                <c:pt idx="112">
                  <c:v>15.171895651480551</c:v>
                </c:pt>
                <c:pt idx="113">
                  <c:v>14.020670566000458</c:v>
                </c:pt>
                <c:pt idx="114">
                  <c:v>17.365648985439307</c:v>
                </c:pt>
                <c:pt idx="115">
                  <c:v>17.063350150396246</c:v>
                </c:pt>
                <c:pt idx="116">
                  <c:v>23.135301740892622</c:v>
                </c:pt>
                <c:pt idx="117">
                  <c:v>24.809426898806748</c:v>
                </c:pt>
                <c:pt idx="118">
                  <c:v>29.390516999242017</c:v>
                </c:pt>
                <c:pt idx="119">
                  <c:v>38.757563131922986</c:v>
                </c:pt>
                <c:pt idx="120">
                  <c:v>27.599023035789514</c:v>
                </c:pt>
                <c:pt idx="121">
                  <c:v>20.435934591826157</c:v>
                </c:pt>
                <c:pt idx="122">
                  <c:v>8.2069905519218551</c:v>
                </c:pt>
                <c:pt idx="123">
                  <c:v>13.562154813567901</c:v>
                </c:pt>
                <c:pt idx="124">
                  <c:v>12.890568233515399</c:v>
                </c:pt>
                <c:pt idx="125">
                  <c:v>13.84426823754545</c:v>
                </c:pt>
                <c:pt idx="126">
                  <c:v>16.199133295462598</c:v>
                </c:pt>
                <c:pt idx="127">
                  <c:v>7.2843498463983209</c:v>
                </c:pt>
                <c:pt idx="128">
                  <c:v>-14.507887745660014</c:v>
                </c:pt>
                <c:pt idx="129">
                  <c:v>3.7182083269235839</c:v>
                </c:pt>
                <c:pt idx="130">
                  <c:v>3.4797743568086652</c:v>
                </c:pt>
                <c:pt idx="131">
                  <c:v>-19.5484132279935</c:v>
                </c:pt>
                <c:pt idx="132">
                  <c:v>-20.455545528586573</c:v>
                </c:pt>
                <c:pt idx="133">
                  <c:v>-0.10542587140226445</c:v>
                </c:pt>
                <c:pt idx="134">
                  <c:v>-16.699193941319013</c:v>
                </c:pt>
                <c:pt idx="135">
                  <c:v>-13.640722748274634</c:v>
                </c:pt>
                <c:pt idx="136">
                  <c:v>-3.0886896323611275</c:v>
                </c:pt>
                <c:pt idx="137">
                  <c:v>4.5476539055500425</c:v>
                </c:pt>
                <c:pt idx="138">
                  <c:v>10.023968253968253</c:v>
                </c:pt>
              </c:numCache>
            </c:numRef>
          </c:val>
          <c:smooth val="0"/>
          <c:extLst>
            <c:ext xmlns:c16="http://schemas.microsoft.com/office/drawing/2014/chart" uri="{C3380CC4-5D6E-409C-BE32-E72D297353CC}">
              <c16:uniqueId val="{00000000-1345-8746-87FB-5F888499618B}"/>
            </c:ext>
          </c:extLst>
        </c:ser>
        <c:dLbls>
          <c:showLegendKey val="0"/>
          <c:showVal val="0"/>
          <c:showCatName val="0"/>
          <c:showSerName val="0"/>
          <c:showPercent val="0"/>
          <c:showBubbleSize val="0"/>
        </c:dLbls>
        <c:smooth val="0"/>
        <c:axId val="1006192480"/>
        <c:axId val="1006194160"/>
      </c:lineChart>
      <c:catAx>
        <c:axId val="100619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06194160"/>
        <c:crosses val="autoZero"/>
        <c:auto val="1"/>
        <c:lblAlgn val="ctr"/>
        <c:lblOffset val="100"/>
        <c:noMultiLvlLbl val="0"/>
      </c:catAx>
      <c:valAx>
        <c:axId val="10061941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0619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Actual 20-Year Return</a:t>
            </a:r>
            <a:r>
              <a:rPr lang="en-US" sz="1600" baseline="0"/>
              <a:t> v. </a:t>
            </a:r>
            <a:r>
              <a:rPr lang="en-US" sz="1600"/>
              <a:t>Predicted Return</a:t>
            </a:r>
            <a:r>
              <a:rPr lang="en-US" sz="1600" baseline="0"/>
              <a:t> using ERS</a:t>
            </a:r>
            <a:endParaRPr lang="en-US" sz="1600"/>
          </a:p>
        </c:rich>
      </c:tx>
      <c:layout>
        <c:manualLayout>
          <c:xMode val="edge"/>
          <c:yMode val="edge"/>
          <c:x val="0.12483571204143618"/>
          <c:y val="8.9686098654708519E-3"/>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actual return</c:v>
          </c:tx>
          <c:spPr>
            <a:ln w="28575" cap="rnd">
              <a:solidFill>
                <a:schemeClr val="accent1"/>
              </a:solidFill>
              <a:round/>
            </a:ln>
            <a:effectLst/>
          </c:spPr>
          <c:marker>
            <c:symbol val="none"/>
          </c:marker>
          <c:cat>
            <c:numRef>
              <c:f>'annual return'!$BE$20:$BE$138</c:f>
              <c:numCache>
                <c:formatCode>General</c:formatCode>
                <c:ptCount val="119"/>
                <c:pt idx="0">
                  <c:v>1881</c:v>
                </c:pt>
                <c:pt idx="1">
                  <c:v>1882</c:v>
                </c:pt>
                <c:pt idx="2">
                  <c:v>1883</c:v>
                </c:pt>
                <c:pt idx="3">
                  <c:v>1884</c:v>
                </c:pt>
                <c:pt idx="4">
                  <c:v>1885</c:v>
                </c:pt>
                <c:pt idx="5">
                  <c:v>1886</c:v>
                </c:pt>
                <c:pt idx="6">
                  <c:v>1887</c:v>
                </c:pt>
                <c:pt idx="7">
                  <c:v>1888</c:v>
                </c:pt>
                <c:pt idx="8">
                  <c:v>1889</c:v>
                </c:pt>
                <c:pt idx="9">
                  <c:v>1890</c:v>
                </c:pt>
                <c:pt idx="10">
                  <c:v>1891</c:v>
                </c:pt>
                <c:pt idx="11">
                  <c:v>1892</c:v>
                </c:pt>
                <c:pt idx="12">
                  <c:v>1893</c:v>
                </c:pt>
                <c:pt idx="13">
                  <c:v>1894</c:v>
                </c:pt>
                <c:pt idx="14">
                  <c:v>1895</c:v>
                </c:pt>
                <c:pt idx="15">
                  <c:v>1896</c:v>
                </c:pt>
                <c:pt idx="16">
                  <c:v>1897</c:v>
                </c:pt>
                <c:pt idx="17">
                  <c:v>1898</c:v>
                </c:pt>
                <c:pt idx="18">
                  <c:v>1899</c:v>
                </c:pt>
                <c:pt idx="19">
                  <c:v>1900</c:v>
                </c:pt>
                <c:pt idx="20">
                  <c:v>1901</c:v>
                </c:pt>
                <c:pt idx="21">
                  <c:v>1902</c:v>
                </c:pt>
                <c:pt idx="22">
                  <c:v>1903</c:v>
                </c:pt>
                <c:pt idx="23">
                  <c:v>1904</c:v>
                </c:pt>
                <c:pt idx="24">
                  <c:v>1905</c:v>
                </c:pt>
                <c:pt idx="25">
                  <c:v>1906</c:v>
                </c:pt>
                <c:pt idx="26">
                  <c:v>1907</c:v>
                </c:pt>
                <c:pt idx="27">
                  <c:v>1908</c:v>
                </c:pt>
                <c:pt idx="28">
                  <c:v>1909</c:v>
                </c:pt>
                <c:pt idx="29">
                  <c:v>1910</c:v>
                </c:pt>
                <c:pt idx="30">
                  <c:v>1911</c:v>
                </c:pt>
                <c:pt idx="31">
                  <c:v>1912</c:v>
                </c:pt>
                <c:pt idx="32">
                  <c:v>1913</c:v>
                </c:pt>
                <c:pt idx="33">
                  <c:v>1914</c:v>
                </c:pt>
                <c:pt idx="34">
                  <c:v>1915</c:v>
                </c:pt>
                <c:pt idx="35">
                  <c:v>1916</c:v>
                </c:pt>
                <c:pt idx="36">
                  <c:v>1917</c:v>
                </c:pt>
                <c:pt idx="37">
                  <c:v>1918</c:v>
                </c:pt>
                <c:pt idx="38">
                  <c:v>1919</c:v>
                </c:pt>
                <c:pt idx="39">
                  <c:v>1920</c:v>
                </c:pt>
                <c:pt idx="40">
                  <c:v>1921</c:v>
                </c:pt>
                <c:pt idx="41">
                  <c:v>1922</c:v>
                </c:pt>
                <c:pt idx="42">
                  <c:v>1923</c:v>
                </c:pt>
                <c:pt idx="43">
                  <c:v>1924</c:v>
                </c:pt>
                <c:pt idx="44">
                  <c:v>1925</c:v>
                </c:pt>
                <c:pt idx="45">
                  <c:v>1926</c:v>
                </c:pt>
                <c:pt idx="46">
                  <c:v>1927</c:v>
                </c:pt>
                <c:pt idx="47">
                  <c:v>1928</c:v>
                </c:pt>
                <c:pt idx="48">
                  <c:v>1929</c:v>
                </c:pt>
                <c:pt idx="49">
                  <c:v>1930</c:v>
                </c:pt>
                <c:pt idx="50">
                  <c:v>1931</c:v>
                </c:pt>
                <c:pt idx="51">
                  <c:v>1932</c:v>
                </c:pt>
                <c:pt idx="52">
                  <c:v>1933</c:v>
                </c:pt>
                <c:pt idx="53">
                  <c:v>1934</c:v>
                </c:pt>
                <c:pt idx="54">
                  <c:v>1935</c:v>
                </c:pt>
                <c:pt idx="55">
                  <c:v>1936</c:v>
                </c:pt>
                <c:pt idx="56">
                  <c:v>1937</c:v>
                </c:pt>
                <c:pt idx="57">
                  <c:v>1938</c:v>
                </c:pt>
                <c:pt idx="58">
                  <c:v>1939</c:v>
                </c:pt>
                <c:pt idx="59">
                  <c:v>1940</c:v>
                </c:pt>
                <c:pt idx="60">
                  <c:v>1941</c:v>
                </c:pt>
                <c:pt idx="61">
                  <c:v>1942</c:v>
                </c:pt>
                <c:pt idx="62">
                  <c:v>1943</c:v>
                </c:pt>
                <c:pt idx="63">
                  <c:v>1944</c:v>
                </c:pt>
                <c:pt idx="64">
                  <c:v>1945</c:v>
                </c:pt>
                <c:pt idx="65">
                  <c:v>1946</c:v>
                </c:pt>
                <c:pt idx="66">
                  <c:v>1947</c:v>
                </c:pt>
                <c:pt idx="67">
                  <c:v>1948</c:v>
                </c:pt>
                <c:pt idx="68">
                  <c:v>1949</c:v>
                </c:pt>
                <c:pt idx="69">
                  <c:v>1950</c:v>
                </c:pt>
                <c:pt idx="70">
                  <c:v>1951</c:v>
                </c:pt>
                <c:pt idx="71">
                  <c:v>1952</c:v>
                </c:pt>
                <c:pt idx="72">
                  <c:v>1953</c:v>
                </c:pt>
                <c:pt idx="73">
                  <c:v>1954</c:v>
                </c:pt>
                <c:pt idx="74">
                  <c:v>1955</c:v>
                </c:pt>
                <c:pt idx="75">
                  <c:v>1956</c:v>
                </c:pt>
                <c:pt idx="76">
                  <c:v>1957</c:v>
                </c:pt>
                <c:pt idx="77">
                  <c:v>1958</c:v>
                </c:pt>
                <c:pt idx="78">
                  <c:v>1959</c:v>
                </c:pt>
                <c:pt idx="79">
                  <c:v>1960</c:v>
                </c:pt>
                <c:pt idx="80">
                  <c:v>1961</c:v>
                </c:pt>
                <c:pt idx="81">
                  <c:v>1962</c:v>
                </c:pt>
                <c:pt idx="82">
                  <c:v>1963</c:v>
                </c:pt>
                <c:pt idx="83">
                  <c:v>1964</c:v>
                </c:pt>
                <c:pt idx="84">
                  <c:v>1965</c:v>
                </c:pt>
                <c:pt idx="85">
                  <c:v>1966</c:v>
                </c:pt>
                <c:pt idx="86">
                  <c:v>1967</c:v>
                </c:pt>
                <c:pt idx="87">
                  <c:v>1968</c:v>
                </c:pt>
                <c:pt idx="88">
                  <c:v>1969</c:v>
                </c:pt>
                <c:pt idx="89">
                  <c:v>1970</c:v>
                </c:pt>
                <c:pt idx="90">
                  <c:v>1971</c:v>
                </c:pt>
                <c:pt idx="91">
                  <c:v>1972</c:v>
                </c:pt>
                <c:pt idx="92">
                  <c:v>1973</c:v>
                </c:pt>
                <c:pt idx="93">
                  <c:v>1974</c:v>
                </c:pt>
                <c:pt idx="94">
                  <c:v>1975</c:v>
                </c:pt>
                <c:pt idx="95">
                  <c:v>1976</c:v>
                </c:pt>
                <c:pt idx="96">
                  <c:v>1977</c:v>
                </c:pt>
                <c:pt idx="97">
                  <c:v>1978</c:v>
                </c:pt>
                <c:pt idx="98">
                  <c:v>1979</c:v>
                </c:pt>
                <c:pt idx="99">
                  <c:v>1980</c:v>
                </c:pt>
                <c:pt idx="100">
                  <c:v>1981</c:v>
                </c:pt>
                <c:pt idx="101">
                  <c:v>1982</c:v>
                </c:pt>
                <c:pt idx="102">
                  <c:v>1983</c:v>
                </c:pt>
                <c:pt idx="103">
                  <c:v>1984</c:v>
                </c:pt>
                <c:pt idx="104">
                  <c:v>1985</c:v>
                </c:pt>
                <c:pt idx="105">
                  <c:v>1986</c:v>
                </c:pt>
                <c:pt idx="106">
                  <c:v>1987</c:v>
                </c:pt>
                <c:pt idx="107">
                  <c:v>1988</c:v>
                </c:pt>
                <c:pt idx="108">
                  <c:v>1989</c:v>
                </c:pt>
                <c:pt idx="109">
                  <c:v>1990</c:v>
                </c:pt>
                <c:pt idx="110">
                  <c:v>1991</c:v>
                </c:pt>
                <c:pt idx="111">
                  <c:v>1992</c:v>
                </c:pt>
                <c:pt idx="112">
                  <c:v>1993</c:v>
                </c:pt>
                <c:pt idx="113">
                  <c:v>1994</c:v>
                </c:pt>
                <c:pt idx="114">
                  <c:v>1995</c:v>
                </c:pt>
                <c:pt idx="115">
                  <c:v>1996</c:v>
                </c:pt>
                <c:pt idx="116">
                  <c:v>1997</c:v>
                </c:pt>
                <c:pt idx="117">
                  <c:v>1998</c:v>
                </c:pt>
                <c:pt idx="118">
                  <c:v>1999</c:v>
                </c:pt>
              </c:numCache>
            </c:numRef>
          </c:cat>
          <c:val>
            <c:numRef>
              <c:f>'annual return'!$BF$20:$BF$138</c:f>
              <c:numCache>
                <c:formatCode>0.0%</c:formatCode>
                <c:ptCount val="119"/>
                <c:pt idx="0">
                  <c:v>5.4638317033558925E-2</c:v>
                </c:pt>
                <c:pt idx="1">
                  <c:v>6.3923971544109115E-2</c:v>
                </c:pt>
                <c:pt idx="2">
                  <c:v>6.6268742514172585E-2</c:v>
                </c:pt>
                <c:pt idx="3">
                  <c:v>5.9305369786429418E-2</c:v>
                </c:pt>
                <c:pt idx="4">
                  <c:v>8.1272518362574875E-2</c:v>
                </c:pt>
                <c:pt idx="5">
                  <c:v>7.750435531075528E-2</c:v>
                </c:pt>
                <c:pt idx="6">
                  <c:v>7.1773384713174071E-2</c:v>
                </c:pt>
                <c:pt idx="7">
                  <c:v>5.7374488004844792E-2</c:v>
                </c:pt>
                <c:pt idx="8">
                  <c:v>7.3356254466963478E-2</c:v>
                </c:pt>
                <c:pt idx="9">
                  <c:v>7.7728456522542677E-2</c:v>
                </c:pt>
                <c:pt idx="10">
                  <c:v>7.9288902721909249E-2</c:v>
                </c:pt>
                <c:pt idx="11">
                  <c:v>7.1848644356434344E-2</c:v>
                </c:pt>
                <c:pt idx="12">
                  <c:v>7.2374405874275016E-2</c:v>
                </c:pt>
                <c:pt idx="13">
                  <c:v>8.0978668738183934E-2</c:v>
                </c:pt>
                <c:pt idx="14">
                  <c:v>7.6052799706105123E-2</c:v>
                </c:pt>
                <c:pt idx="15">
                  <c:v>8.8105057449737734E-2</c:v>
                </c:pt>
                <c:pt idx="16">
                  <c:v>9.0617207762851981E-2</c:v>
                </c:pt>
                <c:pt idx="17">
                  <c:v>6.9475720415484998E-2</c:v>
                </c:pt>
                <c:pt idx="18">
                  <c:v>6.4691170347435545E-2</c:v>
                </c:pt>
                <c:pt idx="19">
                  <c:v>7.2366283333249459E-2</c:v>
                </c:pt>
                <c:pt idx="20">
                  <c:v>5.4321708763783505E-2</c:v>
                </c:pt>
                <c:pt idx="21">
                  <c:v>5.0056195536166914E-2</c:v>
                </c:pt>
                <c:pt idx="22">
                  <c:v>5.9318957172986408E-2</c:v>
                </c:pt>
                <c:pt idx="23">
                  <c:v>7.2134082132877531E-2</c:v>
                </c:pt>
                <c:pt idx="24">
                  <c:v>7.004084484464812E-2</c:v>
                </c:pt>
                <c:pt idx="25">
                  <c:v>7.2010838447350789E-2</c:v>
                </c:pt>
                <c:pt idx="26">
                  <c:v>7.7517219768322043E-2</c:v>
                </c:pt>
                <c:pt idx="27">
                  <c:v>0.10993039538146565</c:v>
                </c:pt>
                <c:pt idx="28">
                  <c:v>0.11306673273794865</c:v>
                </c:pt>
                <c:pt idx="29">
                  <c:v>9.9290591637202663E-2</c:v>
                </c:pt>
                <c:pt idx="30">
                  <c:v>8.7092328057434498E-2</c:v>
                </c:pt>
                <c:pt idx="31">
                  <c:v>5.4018714860438299E-2</c:v>
                </c:pt>
                <c:pt idx="32">
                  <c:v>4.7235561051227837E-2</c:v>
                </c:pt>
                <c:pt idx="33">
                  <c:v>7.3635827015729349E-2</c:v>
                </c:pt>
                <c:pt idx="34">
                  <c:v>7.2142862147574816E-2</c:v>
                </c:pt>
                <c:pt idx="35">
                  <c:v>8.1094534305614197E-2</c:v>
                </c:pt>
                <c:pt idx="36">
                  <c:v>9.2165230229716011E-2</c:v>
                </c:pt>
                <c:pt idx="37">
                  <c:v>8.231929294639273E-2</c:v>
                </c:pt>
                <c:pt idx="38">
                  <c:v>8.199244532804717E-2</c:v>
                </c:pt>
                <c:pt idx="39">
                  <c:v>7.3896595122576958E-2</c:v>
                </c:pt>
                <c:pt idx="40">
                  <c:v>7.6958718780035795E-2</c:v>
                </c:pt>
                <c:pt idx="41">
                  <c:v>6.6674671471288693E-2</c:v>
                </c:pt>
                <c:pt idx="42">
                  <c:v>6.3560989081181685E-2</c:v>
                </c:pt>
                <c:pt idx="43">
                  <c:v>7.2047229890392028E-2</c:v>
                </c:pt>
                <c:pt idx="44">
                  <c:v>6.8826221605217563E-2</c:v>
                </c:pt>
                <c:pt idx="45">
                  <c:v>7.4295298048619118E-2</c:v>
                </c:pt>
                <c:pt idx="46">
                  <c:v>6.1624526643916822E-2</c:v>
                </c:pt>
                <c:pt idx="47">
                  <c:v>4.6328501269202293E-2</c:v>
                </c:pt>
                <c:pt idx="48">
                  <c:v>3.0837394152972708E-2</c:v>
                </c:pt>
                <c:pt idx="49">
                  <c:v>4.435121833238842E-2</c:v>
                </c:pt>
                <c:pt idx="50">
                  <c:v>7.364757540257072E-2</c:v>
                </c:pt>
                <c:pt idx="51">
                  <c:v>0.11643043093358219</c:v>
                </c:pt>
                <c:pt idx="52">
                  <c:v>0.1274779386307765</c:v>
                </c:pt>
                <c:pt idx="53">
                  <c:v>0.10405886253204266</c:v>
                </c:pt>
                <c:pt idx="54">
                  <c:v>0.13016237224007954</c:v>
                </c:pt>
                <c:pt idx="55">
                  <c:v>0.11981999018077016</c:v>
                </c:pt>
                <c:pt idx="56">
                  <c:v>0.10782663107705703</c:v>
                </c:pt>
                <c:pt idx="57">
                  <c:v>0.12610950304864943</c:v>
                </c:pt>
                <c:pt idx="58">
                  <c:v>0.13617388399156249</c:v>
                </c:pt>
                <c:pt idx="59">
                  <c:v>0.13868563536069001</c:v>
                </c:pt>
                <c:pt idx="60">
                  <c:v>0.14763942512162398</c:v>
                </c:pt>
                <c:pt idx="61">
                  <c:v>0.16323777201979484</c:v>
                </c:pt>
                <c:pt idx="62">
                  <c:v>0.15034007118755777</c:v>
                </c:pt>
                <c:pt idx="63">
                  <c:v>0.14921691018532091</c:v>
                </c:pt>
                <c:pt idx="64">
                  <c:v>0.14741747410370287</c:v>
                </c:pt>
                <c:pt idx="65">
                  <c:v>0.13474913226137875</c:v>
                </c:pt>
                <c:pt idx="66">
                  <c:v>0.1382807335423808</c:v>
                </c:pt>
                <c:pt idx="67">
                  <c:v>0.14536792691179867</c:v>
                </c:pt>
                <c:pt idx="68">
                  <c:v>0.14594477840394759</c:v>
                </c:pt>
                <c:pt idx="69">
                  <c:v>0.13167974841907748</c:v>
                </c:pt>
                <c:pt idx="70">
                  <c:v>0.11914299548926377</c:v>
                </c:pt>
                <c:pt idx="71">
                  <c:v>0.11539277968606854</c:v>
                </c:pt>
                <c:pt idx="72">
                  <c:v>0.11691637915912145</c:v>
                </c:pt>
                <c:pt idx="73">
                  <c:v>0.10539133779319121</c:v>
                </c:pt>
                <c:pt idx="74">
                  <c:v>7.1621971354233871E-2</c:v>
                </c:pt>
                <c:pt idx="75">
                  <c:v>7.574166712988406E-2</c:v>
                </c:pt>
                <c:pt idx="76">
                  <c:v>7.7887081277361769E-2</c:v>
                </c:pt>
                <c:pt idx="77">
                  <c:v>7.6007498992358702E-2</c:v>
                </c:pt>
                <c:pt idx="78">
                  <c:v>6.5899457513331372E-2</c:v>
                </c:pt>
                <c:pt idx="79">
                  <c:v>7.0410029957493458E-2</c:v>
                </c:pt>
                <c:pt idx="80">
                  <c:v>7.9438826452193911E-2</c:v>
                </c:pt>
                <c:pt idx="81">
                  <c:v>6.605012432533508E-2</c:v>
                </c:pt>
                <c:pt idx="82">
                  <c:v>8.1594957118086509E-2</c:v>
                </c:pt>
                <c:pt idx="83">
                  <c:v>8.1219932235400583E-2</c:v>
                </c:pt>
                <c:pt idx="84">
                  <c:v>7.7332821371128846E-2</c:v>
                </c:pt>
                <c:pt idx="85">
                  <c:v>8.4056098241602317E-2</c:v>
                </c:pt>
                <c:pt idx="86">
                  <c:v>0.10260659536312322</c:v>
                </c:pt>
                <c:pt idx="87">
                  <c:v>9.3074899722438653E-2</c:v>
                </c:pt>
                <c:pt idx="88">
                  <c:v>9.6577503045947255E-2</c:v>
                </c:pt>
                <c:pt idx="89">
                  <c:v>0.11293742655938011</c:v>
                </c:pt>
                <c:pt idx="90">
                  <c:v>0.10842370292756054</c:v>
                </c:pt>
                <c:pt idx="91">
                  <c:v>0.11655813434546536</c:v>
                </c:pt>
                <c:pt idx="92">
                  <c:v>0.11155475820144201</c:v>
                </c:pt>
                <c:pt idx="93">
                  <c:v>0.12770447905623472</c:v>
                </c:pt>
                <c:pt idx="94">
                  <c:v>0.14178257051518273</c:v>
                </c:pt>
                <c:pt idx="95">
                  <c:v>0.14017162003469585</c:v>
                </c:pt>
                <c:pt idx="96">
                  <c:v>0.14792995073624193</c:v>
                </c:pt>
                <c:pt idx="97">
                  <c:v>0.16766483334480831</c:v>
                </c:pt>
                <c:pt idx="98">
                  <c:v>0.17489465931298209</c:v>
                </c:pt>
                <c:pt idx="99">
                  <c:v>0.17411749547561839</c:v>
                </c:pt>
                <c:pt idx="100">
                  <c:v>0.15751737647111885</c:v>
                </c:pt>
                <c:pt idx="101">
                  <c:v>0.15348809435707689</c:v>
                </c:pt>
                <c:pt idx="102">
                  <c:v>0.12568448024087742</c:v>
                </c:pt>
                <c:pt idx="103">
                  <c:v>0.1293984364395806</c:v>
                </c:pt>
                <c:pt idx="104">
                  <c:v>0.12841080215977607</c:v>
                </c:pt>
                <c:pt idx="105">
                  <c:v>0.12066500004342506</c:v>
                </c:pt>
                <c:pt idx="106">
                  <c:v>0.11242985683999063</c:v>
                </c:pt>
                <c:pt idx="107">
                  <c:v>0.1129706080906403</c:v>
                </c:pt>
                <c:pt idx="108">
                  <c:v>7.9786520183935172E-2</c:v>
                </c:pt>
                <c:pt idx="109">
                  <c:v>8.4160508129963452E-2</c:v>
                </c:pt>
                <c:pt idx="110">
                  <c:v>9.2882586011793E-2</c:v>
                </c:pt>
                <c:pt idx="111">
                  <c:v>7.9630107511340142E-2</c:v>
                </c:pt>
                <c:pt idx="112">
                  <c:v>8.3715607763275024E-2</c:v>
                </c:pt>
                <c:pt idx="113">
                  <c:v>9.0079919478945003E-2</c:v>
                </c:pt>
                <c:pt idx="114">
                  <c:v>9.6354833966651565E-2</c:v>
                </c:pt>
                <c:pt idx="115">
                  <c:v>7.8003201631800412E-2</c:v>
                </c:pt>
                <c:pt idx="116">
                  <c:v>7.5289323711145162E-2</c:v>
                </c:pt>
                <c:pt idx="117">
                  <c:v>7.4044316950883315E-2</c:v>
                </c:pt>
                <c:pt idx="118">
                  <c:v>6.2526767217245593E-2</c:v>
                </c:pt>
              </c:numCache>
            </c:numRef>
          </c:val>
          <c:smooth val="0"/>
          <c:extLst>
            <c:ext xmlns:c16="http://schemas.microsoft.com/office/drawing/2014/chart" uri="{C3380CC4-5D6E-409C-BE32-E72D297353CC}">
              <c16:uniqueId val="{00000000-B0A0-2B45-BA8B-44A69DDFFB1E}"/>
            </c:ext>
          </c:extLst>
        </c:ser>
        <c:ser>
          <c:idx val="1"/>
          <c:order val="1"/>
          <c:tx>
            <c:v>predicted return</c:v>
          </c:tx>
          <c:spPr>
            <a:ln w="28575" cap="rnd">
              <a:solidFill>
                <a:schemeClr val="accent2"/>
              </a:solidFill>
              <a:round/>
            </a:ln>
            <a:effectLst/>
          </c:spPr>
          <c:marker>
            <c:symbol val="none"/>
          </c:marker>
          <c:cat>
            <c:numRef>
              <c:f>'annual return'!$BE$20:$BE$138</c:f>
              <c:numCache>
                <c:formatCode>General</c:formatCode>
                <c:ptCount val="119"/>
                <c:pt idx="0">
                  <c:v>1881</c:v>
                </c:pt>
                <c:pt idx="1">
                  <c:v>1882</c:v>
                </c:pt>
                <c:pt idx="2">
                  <c:v>1883</c:v>
                </c:pt>
                <c:pt idx="3">
                  <c:v>1884</c:v>
                </c:pt>
                <c:pt idx="4">
                  <c:v>1885</c:v>
                </c:pt>
                <c:pt idx="5">
                  <c:v>1886</c:v>
                </c:pt>
                <c:pt idx="6">
                  <c:v>1887</c:v>
                </c:pt>
                <c:pt idx="7">
                  <c:v>1888</c:v>
                </c:pt>
                <c:pt idx="8">
                  <c:v>1889</c:v>
                </c:pt>
                <c:pt idx="9">
                  <c:v>1890</c:v>
                </c:pt>
                <c:pt idx="10">
                  <c:v>1891</c:v>
                </c:pt>
                <c:pt idx="11">
                  <c:v>1892</c:v>
                </c:pt>
                <c:pt idx="12">
                  <c:v>1893</c:v>
                </c:pt>
                <c:pt idx="13">
                  <c:v>1894</c:v>
                </c:pt>
                <c:pt idx="14">
                  <c:v>1895</c:v>
                </c:pt>
                <c:pt idx="15">
                  <c:v>1896</c:v>
                </c:pt>
                <c:pt idx="16">
                  <c:v>1897</c:v>
                </c:pt>
                <c:pt idx="17">
                  <c:v>1898</c:v>
                </c:pt>
                <c:pt idx="18">
                  <c:v>1899</c:v>
                </c:pt>
                <c:pt idx="19">
                  <c:v>1900</c:v>
                </c:pt>
                <c:pt idx="20">
                  <c:v>1901</c:v>
                </c:pt>
                <c:pt idx="21">
                  <c:v>1902</c:v>
                </c:pt>
                <c:pt idx="22">
                  <c:v>1903</c:v>
                </c:pt>
                <c:pt idx="23">
                  <c:v>1904</c:v>
                </c:pt>
                <c:pt idx="24">
                  <c:v>1905</c:v>
                </c:pt>
                <c:pt idx="25">
                  <c:v>1906</c:v>
                </c:pt>
                <c:pt idx="26">
                  <c:v>1907</c:v>
                </c:pt>
                <c:pt idx="27">
                  <c:v>1908</c:v>
                </c:pt>
                <c:pt idx="28">
                  <c:v>1909</c:v>
                </c:pt>
                <c:pt idx="29">
                  <c:v>1910</c:v>
                </c:pt>
                <c:pt idx="30">
                  <c:v>1911</c:v>
                </c:pt>
                <c:pt idx="31">
                  <c:v>1912</c:v>
                </c:pt>
                <c:pt idx="32">
                  <c:v>1913</c:v>
                </c:pt>
                <c:pt idx="33">
                  <c:v>1914</c:v>
                </c:pt>
                <c:pt idx="34">
                  <c:v>1915</c:v>
                </c:pt>
                <c:pt idx="35">
                  <c:v>1916</c:v>
                </c:pt>
                <c:pt idx="36">
                  <c:v>1917</c:v>
                </c:pt>
                <c:pt idx="37">
                  <c:v>1918</c:v>
                </c:pt>
                <c:pt idx="38">
                  <c:v>1919</c:v>
                </c:pt>
                <c:pt idx="39">
                  <c:v>1920</c:v>
                </c:pt>
                <c:pt idx="40">
                  <c:v>1921</c:v>
                </c:pt>
                <c:pt idx="41">
                  <c:v>1922</c:v>
                </c:pt>
                <c:pt idx="42">
                  <c:v>1923</c:v>
                </c:pt>
                <c:pt idx="43">
                  <c:v>1924</c:v>
                </c:pt>
                <c:pt idx="44">
                  <c:v>1925</c:v>
                </c:pt>
                <c:pt idx="45">
                  <c:v>1926</c:v>
                </c:pt>
                <c:pt idx="46">
                  <c:v>1927</c:v>
                </c:pt>
                <c:pt idx="47">
                  <c:v>1928</c:v>
                </c:pt>
                <c:pt idx="48">
                  <c:v>1929</c:v>
                </c:pt>
                <c:pt idx="49">
                  <c:v>1930</c:v>
                </c:pt>
                <c:pt idx="50">
                  <c:v>1931</c:v>
                </c:pt>
                <c:pt idx="51">
                  <c:v>1932</c:v>
                </c:pt>
                <c:pt idx="52">
                  <c:v>1933</c:v>
                </c:pt>
                <c:pt idx="53">
                  <c:v>1934</c:v>
                </c:pt>
                <c:pt idx="54">
                  <c:v>1935</c:v>
                </c:pt>
                <c:pt idx="55">
                  <c:v>1936</c:v>
                </c:pt>
                <c:pt idx="56">
                  <c:v>1937</c:v>
                </c:pt>
                <c:pt idx="57">
                  <c:v>1938</c:v>
                </c:pt>
                <c:pt idx="58">
                  <c:v>1939</c:v>
                </c:pt>
                <c:pt idx="59">
                  <c:v>1940</c:v>
                </c:pt>
                <c:pt idx="60">
                  <c:v>1941</c:v>
                </c:pt>
                <c:pt idx="61">
                  <c:v>1942</c:v>
                </c:pt>
                <c:pt idx="62">
                  <c:v>1943</c:v>
                </c:pt>
                <c:pt idx="63">
                  <c:v>1944</c:v>
                </c:pt>
                <c:pt idx="64">
                  <c:v>1945</c:v>
                </c:pt>
                <c:pt idx="65">
                  <c:v>1946</c:v>
                </c:pt>
                <c:pt idx="66">
                  <c:v>1947</c:v>
                </c:pt>
                <c:pt idx="67">
                  <c:v>1948</c:v>
                </c:pt>
                <c:pt idx="68">
                  <c:v>1949</c:v>
                </c:pt>
                <c:pt idx="69">
                  <c:v>1950</c:v>
                </c:pt>
                <c:pt idx="70">
                  <c:v>1951</c:v>
                </c:pt>
                <c:pt idx="71">
                  <c:v>1952</c:v>
                </c:pt>
                <c:pt idx="72">
                  <c:v>1953</c:v>
                </c:pt>
                <c:pt idx="73">
                  <c:v>1954</c:v>
                </c:pt>
                <c:pt idx="74">
                  <c:v>1955</c:v>
                </c:pt>
                <c:pt idx="75">
                  <c:v>1956</c:v>
                </c:pt>
                <c:pt idx="76">
                  <c:v>1957</c:v>
                </c:pt>
                <c:pt idx="77">
                  <c:v>1958</c:v>
                </c:pt>
                <c:pt idx="78">
                  <c:v>1959</c:v>
                </c:pt>
                <c:pt idx="79">
                  <c:v>1960</c:v>
                </c:pt>
                <c:pt idx="80">
                  <c:v>1961</c:v>
                </c:pt>
                <c:pt idx="81">
                  <c:v>1962</c:v>
                </c:pt>
                <c:pt idx="82">
                  <c:v>1963</c:v>
                </c:pt>
                <c:pt idx="83">
                  <c:v>1964</c:v>
                </c:pt>
                <c:pt idx="84">
                  <c:v>1965</c:v>
                </c:pt>
                <c:pt idx="85">
                  <c:v>1966</c:v>
                </c:pt>
                <c:pt idx="86">
                  <c:v>1967</c:v>
                </c:pt>
                <c:pt idx="87">
                  <c:v>1968</c:v>
                </c:pt>
                <c:pt idx="88">
                  <c:v>1969</c:v>
                </c:pt>
                <c:pt idx="89">
                  <c:v>1970</c:v>
                </c:pt>
                <c:pt idx="90">
                  <c:v>1971</c:v>
                </c:pt>
                <c:pt idx="91">
                  <c:v>1972</c:v>
                </c:pt>
                <c:pt idx="92">
                  <c:v>1973</c:v>
                </c:pt>
                <c:pt idx="93">
                  <c:v>1974</c:v>
                </c:pt>
                <c:pt idx="94">
                  <c:v>1975</c:v>
                </c:pt>
                <c:pt idx="95">
                  <c:v>1976</c:v>
                </c:pt>
                <c:pt idx="96">
                  <c:v>1977</c:v>
                </c:pt>
                <c:pt idx="97">
                  <c:v>1978</c:v>
                </c:pt>
                <c:pt idx="98">
                  <c:v>1979</c:v>
                </c:pt>
                <c:pt idx="99">
                  <c:v>1980</c:v>
                </c:pt>
                <c:pt idx="100">
                  <c:v>1981</c:v>
                </c:pt>
                <c:pt idx="101">
                  <c:v>1982</c:v>
                </c:pt>
                <c:pt idx="102">
                  <c:v>1983</c:v>
                </c:pt>
                <c:pt idx="103">
                  <c:v>1984</c:v>
                </c:pt>
                <c:pt idx="104">
                  <c:v>1985</c:v>
                </c:pt>
                <c:pt idx="105">
                  <c:v>1986</c:v>
                </c:pt>
                <c:pt idx="106">
                  <c:v>1987</c:v>
                </c:pt>
                <c:pt idx="107">
                  <c:v>1988</c:v>
                </c:pt>
                <c:pt idx="108">
                  <c:v>1989</c:v>
                </c:pt>
                <c:pt idx="109">
                  <c:v>1990</c:v>
                </c:pt>
                <c:pt idx="110">
                  <c:v>1991</c:v>
                </c:pt>
                <c:pt idx="111">
                  <c:v>1992</c:v>
                </c:pt>
                <c:pt idx="112">
                  <c:v>1993</c:v>
                </c:pt>
                <c:pt idx="113">
                  <c:v>1994</c:v>
                </c:pt>
                <c:pt idx="114">
                  <c:v>1995</c:v>
                </c:pt>
                <c:pt idx="115">
                  <c:v>1996</c:v>
                </c:pt>
                <c:pt idx="116">
                  <c:v>1997</c:v>
                </c:pt>
                <c:pt idx="117">
                  <c:v>1998</c:v>
                </c:pt>
                <c:pt idx="118">
                  <c:v>1999</c:v>
                </c:pt>
              </c:numCache>
            </c:numRef>
          </c:cat>
          <c:val>
            <c:numRef>
              <c:f>'annual return'!$BG$20:$BG$138</c:f>
              <c:numCache>
                <c:formatCode>0.0%</c:formatCode>
                <c:ptCount val="119"/>
                <c:pt idx="0">
                  <c:v>8.0533295577785546E-2</c:v>
                </c:pt>
                <c:pt idx="1">
                  <c:v>8.7517051762474596E-2</c:v>
                </c:pt>
                <c:pt idx="2">
                  <c:v>8.8388045887161093E-2</c:v>
                </c:pt>
                <c:pt idx="3">
                  <c:v>9.0388102786808311E-2</c:v>
                </c:pt>
                <c:pt idx="4">
                  <c:v>9.4142093096350576E-2</c:v>
                </c:pt>
                <c:pt idx="5">
                  <c:v>8.7274131976404989E-2</c:v>
                </c:pt>
                <c:pt idx="6">
                  <c:v>8.4053372712805663E-2</c:v>
                </c:pt>
                <c:pt idx="7">
                  <c:v>8.7912130214714113E-2</c:v>
                </c:pt>
                <c:pt idx="8">
                  <c:v>8.8580183843290694E-2</c:v>
                </c:pt>
                <c:pt idx="9">
                  <c:v>8.5588536203585974E-2</c:v>
                </c:pt>
                <c:pt idx="10">
                  <c:v>8.80926343884052E-2</c:v>
                </c:pt>
                <c:pt idx="11">
                  <c:v>7.9971246660278661E-2</c:v>
                </c:pt>
                <c:pt idx="12">
                  <c:v>8.2108561914761902E-2</c:v>
                </c:pt>
                <c:pt idx="13">
                  <c:v>8.6838363758058756E-2</c:v>
                </c:pt>
                <c:pt idx="14">
                  <c:v>8.6831155549766947E-2</c:v>
                </c:pt>
                <c:pt idx="15">
                  <c:v>8.5593080946430256E-2</c:v>
                </c:pt>
                <c:pt idx="16">
                  <c:v>8.6219152851695124E-2</c:v>
                </c:pt>
                <c:pt idx="17">
                  <c:v>8.1594860913140499E-2</c:v>
                </c:pt>
                <c:pt idx="18">
                  <c:v>7.6051841839951395E-2</c:v>
                </c:pt>
                <c:pt idx="19">
                  <c:v>8.5167668314546363E-2</c:v>
                </c:pt>
                <c:pt idx="20">
                  <c:v>8.0532406031994741E-2</c:v>
                </c:pt>
                <c:pt idx="21">
                  <c:v>7.6384280150957773E-2</c:v>
                </c:pt>
                <c:pt idx="22">
                  <c:v>7.9654566938750282E-2</c:v>
                </c:pt>
                <c:pt idx="23">
                  <c:v>8.889726801476483E-2</c:v>
                </c:pt>
                <c:pt idx="24">
                  <c:v>8.2205241998467349E-2</c:v>
                </c:pt>
                <c:pt idx="25">
                  <c:v>7.8798790797582008E-2</c:v>
                </c:pt>
                <c:pt idx="26">
                  <c:v>8.3623446005875124E-2</c:v>
                </c:pt>
                <c:pt idx="27">
                  <c:v>9.4740479562148483E-2</c:v>
                </c:pt>
                <c:pt idx="28">
                  <c:v>8.8722832910709482E-2</c:v>
                </c:pt>
                <c:pt idx="29">
                  <c:v>8.8439425418714412E-2</c:v>
                </c:pt>
                <c:pt idx="30">
                  <c:v>8.9285621554027417E-2</c:v>
                </c:pt>
                <c:pt idx="31">
                  <c:v>8.9753227970006177E-2</c:v>
                </c:pt>
                <c:pt idx="32">
                  <c:v>9.0138419418339444E-2</c:v>
                </c:pt>
                <c:pt idx="33">
                  <c:v>9.4242638155269454E-2</c:v>
                </c:pt>
                <c:pt idx="34">
                  <c:v>9.6990182801360403E-2</c:v>
                </c:pt>
                <c:pt idx="35">
                  <c:v>9.2497986926922904E-2</c:v>
                </c:pt>
                <c:pt idx="36">
                  <c:v>9.5548056487110733E-2</c:v>
                </c:pt>
                <c:pt idx="37">
                  <c:v>0.10515138446710393</c:v>
                </c:pt>
                <c:pt idx="38">
                  <c:v>0.10646256580403879</c:v>
                </c:pt>
                <c:pt idx="39">
                  <c:v>0.10678736104300901</c:v>
                </c:pt>
                <c:pt idx="40">
                  <c:v>0.10897135909428002</c:v>
                </c:pt>
                <c:pt idx="41">
                  <c:v>0.10630479844480578</c:v>
                </c:pt>
                <c:pt idx="42">
                  <c:v>0.10186533414176702</c:v>
                </c:pt>
                <c:pt idx="43">
                  <c:v>0.10280934249337403</c:v>
                </c:pt>
                <c:pt idx="44">
                  <c:v>9.9894850389288692E-2</c:v>
                </c:pt>
                <c:pt idx="45">
                  <c:v>9.7109773508982089E-2</c:v>
                </c:pt>
                <c:pt idx="46">
                  <c:v>9.5629099813566487E-2</c:v>
                </c:pt>
                <c:pt idx="47">
                  <c:v>8.2815186575756927E-2</c:v>
                </c:pt>
                <c:pt idx="48">
                  <c:v>6.1386313941075299E-2</c:v>
                </c:pt>
                <c:pt idx="49">
                  <c:v>7.5184668629621587E-2</c:v>
                </c:pt>
                <c:pt idx="50">
                  <c:v>8.7540847199985228E-2</c:v>
                </c:pt>
                <c:pt idx="51">
                  <c:v>0.10178693250226512</c:v>
                </c:pt>
                <c:pt idx="52">
                  <c:v>0.10617612940316978</c:v>
                </c:pt>
                <c:pt idx="53">
                  <c:v>9.850671307789538E-2</c:v>
                </c:pt>
                <c:pt idx="54">
                  <c:v>0.1071526240422509</c:v>
                </c:pt>
                <c:pt idx="55">
                  <c:v>9.7203309235723179E-2</c:v>
                </c:pt>
                <c:pt idx="56">
                  <c:v>8.6212386847181133E-2</c:v>
                </c:pt>
                <c:pt idx="57">
                  <c:v>0.10742279891541595</c:v>
                </c:pt>
                <c:pt idx="58">
                  <c:v>0.10804535290004691</c:v>
                </c:pt>
                <c:pt idx="59">
                  <c:v>0.11118833434921505</c:v>
                </c:pt>
                <c:pt idx="60">
                  <c:v>0.12764978267409122</c:v>
                </c:pt>
                <c:pt idx="61">
                  <c:v>0.11773035917391161</c:v>
                </c:pt>
                <c:pt idx="62">
                  <c:v>0.11735310858395298</c:v>
                </c:pt>
                <c:pt idx="63">
                  <c:v>0.1150347569464234</c:v>
                </c:pt>
                <c:pt idx="64">
                  <c:v>0.11603124305181045</c:v>
                </c:pt>
                <c:pt idx="65">
                  <c:v>0.1136264527355737</c:v>
                </c:pt>
                <c:pt idx="66">
                  <c:v>0.12095682520089301</c:v>
                </c:pt>
                <c:pt idx="67">
                  <c:v>0.11754759038116847</c:v>
                </c:pt>
                <c:pt idx="68">
                  <c:v>0.12176614838437594</c:v>
                </c:pt>
                <c:pt idx="69">
                  <c:v>0.12031931418962394</c:v>
                </c:pt>
                <c:pt idx="70">
                  <c:v>0.11086945177423879</c:v>
                </c:pt>
                <c:pt idx="71">
                  <c:v>0.10697248647696389</c:v>
                </c:pt>
                <c:pt idx="72">
                  <c:v>0.10296086209709987</c:v>
                </c:pt>
                <c:pt idx="73">
                  <c:v>0.11286919426192865</c:v>
                </c:pt>
                <c:pt idx="74">
                  <c:v>0.10059765928078401</c:v>
                </c:pt>
                <c:pt idx="75">
                  <c:v>8.9673498583988209E-2</c:v>
                </c:pt>
                <c:pt idx="76">
                  <c:v>8.6386334972361478E-2</c:v>
                </c:pt>
                <c:pt idx="77">
                  <c:v>9.715059866738307E-2</c:v>
                </c:pt>
                <c:pt idx="78">
                  <c:v>8.0032800241965907E-2</c:v>
                </c:pt>
                <c:pt idx="79">
                  <c:v>7.787597480035191E-2</c:v>
                </c:pt>
                <c:pt idx="80">
                  <c:v>7.9724824310480003E-2</c:v>
                </c:pt>
                <c:pt idx="81">
                  <c:v>7.2361793448229905E-2</c:v>
                </c:pt>
                <c:pt idx="82">
                  <c:v>7.7956476069751535E-2</c:v>
                </c:pt>
                <c:pt idx="83">
                  <c:v>7.1069195680365738E-2</c:v>
                </c:pt>
                <c:pt idx="84">
                  <c:v>6.7204831229130679E-2</c:v>
                </c:pt>
                <c:pt idx="85">
                  <c:v>6.4612686050105284E-2</c:v>
                </c:pt>
                <c:pt idx="86">
                  <c:v>7.3071263170791934E-2</c:v>
                </c:pt>
                <c:pt idx="87">
                  <c:v>7.1483566625227368E-2</c:v>
                </c:pt>
                <c:pt idx="88">
                  <c:v>7.3807669085307115E-2</c:v>
                </c:pt>
                <c:pt idx="89">
                  <c:v>9.2452057918531061E-2</c:v>
                </c:pt>
                <c:pt idx="90">
                  <c:v>8.5761775816586505E-2</c:v>
                </c:pt>
                <c:pt idx="91">
                  <c:v>8.2750597653998836E-2</c:v>
                </c:pt>
                <c:pt idx="92">
                  <c:v>8.138949969686049E-2</c:v>
                </c:pt>
                <c:pt idx="93">
                  <c:v>9.6309372347980204E-2</c:v>
                </c:pt>
                <c:pt idx="94">
                  <c:v>0.11022967088368696</c:v>
                </c:pt>
                <c:pt idx="95">
                  <c:v>0.10629320610470794</c:v>
                </c:pt>
                <c:pt idx="96">
                  <c:v>0.10251239804024137</c:v>
                </c:pt>
                <c:pt idx="97">
                  <c:v>0.1123611442568162</c:v>
                </c:pt>
                <c:pt idx="98">
                  <c:v>0.12024950270654222</c:v>
                </c:pt>
                <c:pt idx="99">
                  <c:v>0.13444528876299477</c:v>
                </c:pt>
                <c:pt idx="100">
                  <c:v>0.1482813043260145</c:v>
                </c:pt>
                <c:pt idx="101">
                  <c:v>0.17084691088209802</c:v>
                </c:pt>
                <c:pt idx="102">
                  <c:v>0.1319347263675692</c:v>
                </c:pt>
                <c:pt idx="103">
                  <c:v>0.13904614155341033</c:v>
                </c:pt>
                <c:pt idx="104">
                  <c:v>0.13637616370555206</c:v>
                </c:pt>
                <c:pt idx="105">
                  <c:v>0.11494535783219417</c:v>
                </c:pt>
                <c:pt idx="106">
                  <c:v>9.3485038934431497E-2</c:v>
                </c:pt>
                <c:pt idx="107">
                  <c:v>0.10593649060198906</c:v>
                </c:pt>
                <c:pt idx="108">
                  <c:v>0.10603172495262658</c:v>
                </c:pt>
                <c:pt idx="109">
                  <c:v>9.5228815819834667E-2</c:v>
                </c:pt>
                <c:pt idx="110">
                  <c:v>9.7916284056116742E-2</c:v>
                </c:pt>
                <c:pt idx="111">
                  <c:v>8.1667760970080883E-2</c:v>
                </c:pt>
                <c:pt idx="112">
                  <c:v>7.8214431484350033E-2</c:v>
                </c:pt>
                <c:pt idx="113">
                  <c:v>7.2324359188266518E-2</c:v>
                </c:pt>
                <c:pt idx="114">
                  <c:v>8.4891580802289646E-2</c:v>
                </c:pt>
                <c:pt idx="115">
                  <c:v>6.4161673898022409E-2</c:v>
                </c:pt>
                <c:pt idx="116">
                  <c:v>5.9137706451033445E-2</c:v>
                </c:pt>
                <c:pt idx="117">
                  <c:v>4.4873514629179878E-2</c:v>
                </c:pt>
                <c:pt idx="118">
                  <c:v>2.6086937192425497E-2</c:v>
                </c:pt>
              </c:numCache>
            </c:numRef>
          </c:val>
          <c:smooth val="0"/>
          <c:extLst>
            <c:ext xmlns:c16="http://schemas.microsoft.com/office/drawing/2014/chart" uri="{C3380CC4-5D6E-409C-BE32-E72D297353CC}">
              <c16:uniqueId val="{00000001-B0A0-2B45-BA8B-44A69DDFFB1E}"/>
            </c:ext>
          </c:extLst>
        </c:ser>
        <c:dLbls>
          <c:showLegendKey val="0"/>
          <c:showVal val="0"/>
          <c:showCatName val="0"/>
          <c:showSerName val="0"/>
          <c:showPercent val="0"/>
          <c:showBubbleSize val="0"/>
        </c:dLbls>
        <c:smooth val="0"/>
        <c:axId val="1407800064"/>
        <c:axId val="1407801744"/>
      </c:lineChart>
      <c:catAx>
        <c:axId val="140780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407801744"/>
        <c:crosses val="autoZero"/>
        <c:auto val="1"/>
        <c:lblAlgn val="ctr"/>
        <c:lblOffset val="100"/>
        <c:tickLblSkip val="5"/>
        <c:noMultiLvlLbl val="0"/>
      </c:catAx>
      <c:valAx>
        <c:axId val="14078017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40780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20-Year</a:t>
            </a:r>
            <a:r>
              <a:rPr lang="en-US" sz="1600" baseline="0"/>
              <a:t> </a:t>
            </a:r>
            <a:r>
              <a:rPr lang="en-US" sz="1600"/>
              <a:t>ERP based on Equity Risk Sentiment</a:t>
            </a:r>
            <a:r>
              <a:rPr lang="en-US" sz="1600" baseline="0"/>
              <a:t> metric</a:t>
            </a:r>
            <a:endParaRPr lang="en-US" sz="160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954707351355774E-2"/>
          <c:y val="0.12207281782084935"/>
          <c:w val="0.8986466791304466"/>
          <c:h val="0.84851829418758551"/>
        </c:manualLayout>
      </c:layout>
      <c:lineChart>
        <c:grouping val="standard"/>
        <c:varyColors val="0"/>
        <c:ser>
          <c:idx val="0"/>
          <c:order val="0"/>
          <c:tx>
            <c:v>ERP</c:v>
          </c:tx>
          <c:spPr>
            <a:ln w="28575" cap="rnd">
              <a:solidFill>
                <a:schemeClr val="accent1"/>
              </a:solidFill>
              <a:round/>
            </a:ln>
            <a:effectLst/>
          </c:spPr>
          <c:marker>
            <c:symbol val="none"/>
          </c:marker>
          <c:cat>
            <c:numRef>
              <c:f>'annual return'!$A$20:$A$158</c:f>
              <c:numCache>
                <c:formatCode>General</c:formatCode>
                <c:ptCount val="139"/>
                <c:pt idx="0">
                  <c:v>1881</c:v>
                </c:pt>
                <c:pt idx="1">
                  <c:v>1882</c:v>
                </c:pt>
                <c:pt idx="2">
                  <c:v>1883</c:v>
                </c:pt>
                <c:pt idx="3">
                  <c:v>1884</c:v>
                </c:pt>
                <c:pt idx="4">
                  <c:v>1885</c:v>
                </c:pt>
                <c:pt idx="5">
                  <c:v>1886</c:v>
                </c:pt>
                <c:pt idx="6">
                  <c:v>1887</c:v>
                </c:pt>
                <c:pt idx="7">
                  <c:v>1888</c:v>
                </c:pt>
                <c:pt idx="8">
                  <c:v>1889</c:v>
                </c:pt>
                <c:pt idx="9">
                  <c:v>1890</c:v>
                </c:pt>
                <c:pt idx="10">
                  <c:v>1891</c:v>
                </c:pt>
                <c:pt idx="11">
                  <c:v>1892</c:v>
                </c:pt>
                <c:pt idx="12">
                  <c:v>1893</c:v>
                </c:pt>
                <c:pt idx="13">
                  <c:v>1894</c:v>
                </c:pt>
                <c:pt idx="14">
                  <c:v>1895</c:v>
                </c:pt>
                <c:pt idx="15">
                  <c:v>1896</c:v>
                </c:pt>
                <c:pt idx="16">
                  <c:v>1897</c:v>
                </c:pt>
                <c:pt idx="17">
                  <c:v>1898</c:v>
                </c:pt>
                <c:pt idx="18">
                  <c:v>1899</c:v>
                </c:pt>
                <c:pt idx="19">
                  <c:v>1900</c:v>
                </c:pt>
                <c:pt idx="20">
                  <c:v>1901</c:v>
                </c:pt>
                <c:pt idx="21">
                  <c:v>1902</c:v>
                </c:pt>
                <c:pt idx="22">
                  <c:v>1903</c:v>
                </c:pt>
                <c:pt idx="23">
                  <c:v>1904</c:v>
                </c:pt>
                <c:pt idx="24">
                  <c:v>1905</c:v>
                </c:pt>
                <c:pt idx="25">
                  <c:v>1906</c:v>
                </c:pt>
                <c:pt idx="26">
                  <c:v>1907</c:v>
                </c:pt>
                <c:pt idx="27">
                  <c:v>1908</c:v>
                </c:pt>
                <c:pt idx="28">
                  <c:v>1909</c:v>
                </c:pt>
                <c:pt idx="29">
                  <c:v>1910</c:v>
                </c:pt>
                <c:pt idx="30">
                  <c:v>1911</c:v>
                </c:pt>
                <c:pt idx="31">
                  <c:v>1912</c:v>
                </c:pt>
                <c:pt idx="32">
                  <c:v>1913</c:v>
                </c:pt>
                <c:pt idx="33">
                  <c:v>1914</c:v>
                </c:pt>
                <c:pt idx="34">
                  <c:v>1915</c:v>
                </c:pt>
                <c:pt idx="35">
                  <c:v>1916</c:v>
                </c:pt>
                <c:pt idx="36">
                  <c:v>1917</c:v>
                </c:pt>
                <c:pt idx="37">
                  <c:v>1918</c:v>
                </c:pt>
                <c:pt idx="38">
                  <c:v>1919</c:v>
                </c:pt>
                <c:pt idx="39">
                  <c:v>1920</c:v>
                </c:pt>
                <c:pt idx="40">
                  <c:v>1921</c:v>
                </c:pt>
                <c:pt idx="41">
                  <c:v>1922</c:v>
                </c:pt>
                <c:pt idx="42">
                  <c:v>1923</c:v>
                </c:pt>
                <c:pt idx="43">
                  <c:v>1924</c:v>
                </c:pt>
                <c:pt idx="44">
                  <c:v>1925</c:v>
                </c:pt>
                <c:pt idx="45">
                  <c:v>1926</c:v>
                </c:pt>
                <c:pt idx="46">
                  <c:v>1927</c:v>
                </c:pt>
                <c:pt idx="47">
                  <c:v>1928</c:v>
                </c:pt>
                <c:pt idx="48">
                  <c:v>1929</c:v>
                </c:pt>
                <c:pt idx="49">
                  <c:v>1930</c:v>
                </c:pt>
                <c:pt idx="50">
                  <c:v>1931</c:v>
                </c:pt>
                <c:pt idx="51">
                  <c:v>1932</c:v>
                </c:pt>
                <c:pt idx="52">
                  <c:v>1933</c:v>
                </c:pt>
                <c:pt idx="53">
                  <c:v>1934</c:v>
                </c:pt>
                <c:pt idx="54">
                  <c:v>1935</c:v>
                </c:pt>
                <c:pt idx="55">
                  <c:v>1936</c:v>
                </c:pt>
                <c:pt idx="56">
                  <c:v>1937</c:v>
                </c:pt>
                <c:pt idx="57">
                  <c:v>1938</c:v>
                </c:pt>
                <c:pt idx="58">
                  <c:v>1939</c:v>
                </c:pt>
                <c:pt idx="59">
                  <c:v>1940</c:v>
                </c:pt>
                <c:pt idx="60">
                  <c:v>1941</c:v>
                </c:pt>
                <c:pt idx="61">
                  <c:v>1942</c:v>
                </c:pt>
                <c:pt idx="62">
                  <c:v>1943</c:v>
                </c:pt>
                <c:pt idx="63">
                  <c:v>1944</c:v>
                </c:pt>
                <c:pt idx="64">
                  <c:v>1945</c:v>
                </c:pt>
                <c:pt idx="65">
                  <c:v>1946</c:v>
                </c:pt>
                <c:pt idx="66">
                  <c:v>1947</c:v>
                </c:pt>
                <c:pt idx="67">
                  <c:v>1948</c:v>
                </c:pt>
                <c:pt idx="68">
                  <c:v>1949</c:v>
                </c:pt>
                <c:pt idx="69">
                  <c:v>1950</c:v>
                </c:pt>
                <c:pt idx="70">
                  <c:v>1951</c:v>
                </c:pt>
                <c:pt idx="71">
                  <c:v>1952</c:v>
                </c:pt>
                <c:pt idx="72">
                  <c:v>1953</c:v>
                </c:pt>
                <c:pt idx="73">
                  <c:v>1954</c:v>
                </c:pt>
                <c:pt idx="74">
                  <c:v>1955</c:v>
                </c:pt>
                <c:pt idx="75">
                  <c:v>1956</c:v>
                </c:pt>
                <c:pt idx="76">
                  <c:v>1957</c:v>
                </c:pt>
                <c:pt idx="77">
                  <c:v>1958</c:v>
                </c:pt>
                <c:pt idx="78">
                  <c:v>1959</c:v>
                </c:pt>
                <c:pt idx="79">
                  <c:v>1960</c:v>
                </c:pt>
                <c:pt idx="80">
                  <c:v>1961</c:v>
                </c:pt>
                <c:pt idx="81">
                  <c:v>1962</c:v>
                </c:pt>
                <c:pt idx="82">
                  <c:v>1963</c:v>
                </c:pt>
                <c:pt idx="83">
                  <c:v>1964</c:v>
                </c:pt>
                <c:pt idx="84">
                  <c:v>1965</c:v>
                </c:pt>
                <c:pt idx="85">
                  <c:v>1966</c:v>
                </c:pt>
                <c:pt idx="86">
                  <c:v>1967</c:v>
                </c:pt>
                <c:pt idx="87">
                  <c:v>1968</c:v>
                </c:pt>
                <c:pt idx="88">
                  <c:v>1969</c:v>
                </c:pt>
                <c:pt idx="89">
                  <c:v>1970</c:v>
                </c:pt>
                <c:pt idx="90">
                  <c:v>1971</c:v>
                </c:pt>
                <c:pt idx="91">
                  <c:v>1972</c:v>
                </c:pt>
                <c:pt idx="92">
                  <c:v>1973</c:v>
                </c:pt>
                <c:pt idx="93">
                  <c:v>1974</c:v>
                </c:pt>
                <c:pt idx="94">
                  <c:v>1975</c:v>
                </c:pt>
                <c:pt idx="95">
                  <c:v>1976</c:v>
                </c:pt>
                <c:pt idx="96">
                  <c:v>1977</c:v>
                </c:pt>
                <c:pt idx="97">
                  <c:v>1978</c:v>
                </c:pt>
                <c:pt idx="98">
                  <c:v>1979</c:v>
                </c:pt>
                <c:pt idx="99">
                  <c:v>1980</c:v>
                </c:pt>
                <c:pt idx="100">
                  <c:v>1981</c:v>
                </c:pt>
                <c:pt idx="101">
                  <c:v>1982</c:v>
                </c:pt>
                <c:pt idx="102">
                  <c:v>1983</c:v>
                </c:pt>
                <c:pt idx="103">
                  <c:v>1984</c:v>
                </c:pt>
                <c:pt idx="104">
                  <c:v>1985</c:v>
                </c:pt>
                <c:pt idx="105">
                  <c:v>1986</c:v>
                </c:pt>
                <c:pt idx="106">
                  <c:v>1987</c:v>
                </c:pt>
                <c:pt idx="107">
                  <c:v>1988</c:v>
                </c:pt>
                <c:pt idx="108">
                  <c:v>1989</c:v>
                </c:pt>
                <c:pt idx="109">
                  <c:v>1990</c:v>
                </c:pt>
                <c:pt idx="110">
                  <c:v>1991</c:v>
                </c:pt>
                <c:pt idx="111">
                  <c:v>1992</c:v>
                </c:pt>
                <c:pt idx="112">
                  <c:v>1993</c:v>
                </c:pt>
                <c:pt idx="113">
                  <c:v>1994</c:v>
                </c:pt>
                <c:pt idx="114">
                  <c:v>1995</c:v>
                </c:pt>
                <c:pt idx="115">
                  <c:v>1996</c:v>
                </c:pt>
                <c:pt idx="116">
                  <c:v>1997</c:v>
                </c:pt>
                <c:pt idx="117">
                  <c:v>1998</c:v>
                </c:pt>
                <c:pt idx="118">
                  <c:v>1999</c:v>
                </c:pt>
                <c:pt idx="119">
                  <c:v>2000</c:v>
                </c:pt>
                <c:pt idx="120">
                  <c:v>2001</c:v>
                </c:pt>
                <c:pt idx="121">
                  <c:v>2002</c:v>
                </c:pt>
                <c:pt idx="122">
                  <c:v>2003</c:v>
                </c:pt>
                <c:pt idx="123">
                  <c:v>2004</c:v>
                </c:pt>
                <c:pt idx="124">
                  <c:v>2005</c:v>
                </c:pt>
                <c:pt idx="125">
                  <c:v>2006</c:v>
                </c:pt>
                <c:pt idx="126">
                  <c:v>2007</c:v>
                </c:pt>
                <c:pt idx="127">
                  <c:v>2008</c:v>
                </c:pt>
                <c:pt idx="128">
                  <c:v>2009</c:v>
                </c:pt>
                <c:pt idx="129">
                  <c:v>2010</c:v>
                </c:pt>
                <c:pt idx="130">
                  <c:v>2011</c:v>
                </c:pt>
                <c:pt idx="131">
                  <c:v>2012</c:v>
                </c:pt>
                <c:pt idx="132">
                  <c:v>2013</c:v>
                </c:pt>
                <c:pt idx="133">
                  <c:v>2014</c:v>
                </c:pt>
                <c:pt idx="134">
                  <c:v>2015</c:v>
                </c:pt>
                <c:pt idx="135">
                  <c:v>2016</c:v>
                </c:pt>
                <c:pt idx="136">
                  <c:v>2017</c:v>
                </c:pt>
                <c:pt idx="137">
                  <c:v>2018</c:v>
                </c:pt>
              </c:numCache>
            </c:numRef>
          </c:cat>
          <c:val>
            <c:numRef>
              <c:f>'annual return'!$Y$20:$Y$158</c:f>
              <c:numCache>
                <c:formatCode>0.0%</c:formatCode>
                <c:ptCount val="139"/>
                <c:pt idx="0">
                  <c:v>4.1980034308375741E-2</c:v>
                </c:pt>
                <c:pt idx="1">
                  <c:v>4.9524273077084173E-2</c:v>
                </c:pt>
                <c:pt idx="2">
                  <c:v>5.0263481508405955E-2</c:v>
                </c:pt>
                <c:pt idx="3">
                  <c:v>5.2295022955808144E-2</c:v>
                </c:pt>
                <c:pt idx="4">
                  <c:v>5.6937879729859739E-2</c:v>
                </c:pt>
                <c:pt idx="5">
                  <c:v>5.1827543751963766E-2</c:v>
                </c:pt>
                <c:pt idx="6">
                  <c:v>4.7192207025508005E-2</c:v>
                </c:pt>
                <c:pt idx="7">
                  <c:v>4.9399180297785235E-2</c:v>
                </c:pt>
                <c:pt idx="8">
                  <c:v>5.2276639771185011E-2</c:v>
                </c:pt>
                <c:pt idx="9">
                  <c:v>4.9689166702365221E-2</c:v>
                </c:pt>
                <c:pt idx="10">
                  <c:v>5.0079747527895312E-2</c:v>
                </c:pt>
                <c:pt idx="11">
                  <c:v>4.2443288282122127E-2</c:v>
                </c:pt>
                <c:pt idx="12">
                  <c:v>4.2996204255192155E-2</c:v>
                </c:pt>
                <c:pt idx="13">
                  <c:v>4.8060138628793561E-2</c:v>
                </c:pt>
                <c:pt idx="14">
                  <c:v>5.0484395466621777E-2</c:v>
                </c:pt>
                <c:pt idx="15">
                  <c:v>4.7869769253311011E-2</c:v>
                </c:pt>
                <c:pt idx="16">
                  <c:v>5.0502082061600735E-2</c:v>
                </c:pt>
                <c:pt idx="17">
                  <c:v>4.6535907995297776E-2</c:v>
                </c:pt>
                <c:pt idx="18">
                  <c:v>4.3697227778808301E-2</c:v>
                </c:pt>
                <c:pt idx="19">
                  <c:v>5.2028762302032398E-2</c:v>
                </c:pt>
                <c:pt idx="20">
                  <c:v>4.8043070836076292E-2</c:v>
                </c:pt>
                <c:pt idx="21">
                  <c:v>4.3210195920680025E-2</c:v>
                </c:pt>
                <c:pt idx="22">
                  <c:v>4.5164149989109885E-2</c:v>
                </c:pt>
                <c:pt idx="23">
                  <c:v>5.3092135410797527E-2</c:v>
                </c:pt>
                <c:pt idx="24">
                  <c:v>4.5811018552828979E-2</c:v>
                </c:pt>
                <c:pt idx="25">
                  <c:v>4.302309851840088E-2</c:v>
                </c:pt>
                <c:pt idx="26">
                  <c:v>4.5262318902165706E-2</c:v>
                </c:pt>
                <c:pt idx="27">
                  <c:v>5.3952517148501598E-2</c:v>
                </c:pt>
                <c:pt idx="28">
                  <c:v>4.9270270731215628E-2</c:v>
                </c:pt>
                <c:pt idx="29">
                  <c:v>4.7482846134842237E-2</c:v>
                </c:pt>
                <c:pt idx="30">
                  <c:v>4.7591480625146509E-2</c:v>
                </c:pt>
                <c:pt idx="31">
                  <c:v>4.7738898154029714E-2</c:v>
                </c:pt>
                <c:pt idx="32">
                  <c:v>4.3694034866768275E-2</c:v>
                </c:pt>
                <c:pt idx="33">
                  <c:v>5.0540167199759373E-2</c:v>
                </c:pt>
                <c:pt idx="34">
                  <c:v>5.2369707215426387E-2</c:v>
                </c:pt>
                <c:pt idx="35">
                  <c:v>4.9974038372823444E-2</c:v>
                </c:pt>
                <c:pt idx="36">
                  <c:v>5.1087073287067894E-2</c:v>
                </c:pt>
                <c:pt idx="37">
                  <c:v>5.6853193523098249E-2</c:v>
                </c:pt>
                <c:pt idx="38">
                  <c:v>5.8815852444056183E-2</c:v>
                </c:pt>
                <c:pt idx="39">
                  <c:v>5.4384453694397324E-2</c:v>
                </c:pt>
                <c:pt idx="40">
                  <c:v>5.525869168739185E-2</c:v>
                </c:pt>
                <c:pt idx="41">
                  <c:v>6.069491701323676E-2</c:v>
                </c:pt>
                <c:pt idx="42">
                  <c:v>5.5831098257729986E-2</c:v>
                </c:pt>
                <c:pt idx="43">
                  <c:v>5.9782185751849015E-2</c:v>
                </c:pt>
                <c:pt idx="44">
                  <c:v>5.9016801838329178E-2</c:v>
                </c:pt>
                <c:pt idx="45">
                  <c:v>5.8169148831965868E-2</c:v>
                </c:pt>
                <c:pt idx="46">
                  <c:v>6.0217824476065829E-2</c:v>
                </c:pt>
                <c:pt idx="47">
                  <c:v>4.7919468281967192E-2</c:v>
                </c:pt>
                <c:pt idx="48">
                  <c:v>2.4504164035787094E-2</c:v>
                </c:pt>
                <c:pt idx="49">
                  <c:v>4.0937814531534236E-2</c:v>
                </c:pt>
                <c:pt idx="50">
                  <c:v>5.2390988194295621E-2</c:v>
                </c:pt>
                <c:pt idx="51">
                  <c:v>6.2680297552338976E-2</c:v>
                </c:pt>
                <c:pt idx="52">
                  <c:v>7.0734807282131357E-2</c:v>
                </c:pt>
                <c:pt idx="53">
                  <c:v>6.5270280331550926E-2</c:v>
                </c:pt>
                <c:pt idx="54">
                  <c:v>7.7101492404174382E-2</c:v>
                </c:pt>
                <c:pt idx="55">
                  <c:v>6.8878041145370772E-2</c:v>
                </c:pt>
                <c:pt idx="56">
                  <c:v>5.7861693462389223E-2</c:v>
                </c:pt>
                <c:pt idx="57">
                  <c:v>7.978042015933684E-2</c:v>
                </c:pt>
                <c:pt idx="58">
                  <c:v>8.2498390875387739E-2</c:v>
                </c:pt>
                <c:pt idx="59">
                  <c:v>8.716205297839244E-2</c:v>
                </c:pt>
                <c:pt idx="60">
                  <c:v>0.10608119928797563</c:v>
                </c:pt>
                <c:pt idx="61">
                  <c:v>9.0894357967901337E-2</c:v>
                </c:pt>
                <c:pt idx="62">
                  <c:v>9.0419740981704938E-2</c:v>
                </c:pt>
                <c:pt idx="63">
                  <c:v>8.8051089916494407E-2</c:v>
                </c:pt>
                <c:pt idx="64">
                  <c:v>9.0193653464697057E-2</c:v>
                </c:pt>
                <c:pt idx="65">
                  <c:v>8.9760693546896586E-2</c:v>
                </c:pt>
                <c:pt idx="66">
                  <c:v>9.6290293595005322E-2</c:v>
                </c:pt>
                <c:pt idx="67">
                  <c:v>9.0928924620429841E-2</c:v>
                </c:pt>
                <c:pt idx="68">
                  <c:v>9.6438420862453272E-2</c:v>
                </c:pt>
                <c:pt idx="69">
                  <c:v>9.491723435264246E-2</c:v>
                </c:pt>
                <c:pt idx="70">
                  <c:v>8.3035440942028638E-2</c:v>
                </c:pt>
                <c:pt idx="71">
                  <c:v>7.8079943978344404E-2</c:v>
                </c:pt>
                <c:pt idx="72">
                  <c:v>7.2606109206554303E-2</c:v>
                </c:pt>
                <c:pt idx="73">
                  <c:v>8.5937933510859515E-2</c:v>
                </c:pt>
                <c:pt idx="74">
                  <c:v>7.2602728077949485E-2</c:v>
                </c:pt>
                <c:pt idx="75">
                  <c:v>5.8963555475207319E-2</c:v>
                </c:pt>
                <c:pt idx="76">
                  <c:v>5.0054450968839731E-2</c:v>
                </c:pt>
                <c:pt idx="77">
                  <c:v>6.4264815857389745E-2</c:v>
                </c:pt>
                <c:pt idx="78">
                  <c:v>3.8293405347015856E-2</c:v>
                </c:pt>
                <c:pt idx="79">
                  <c:v>2.9293329641283474E-2</c:v>
                </c:pt>
                <c:pt idx="80">
                  <c:v>3.9796633580970846E-2</c:v>
                </c:pt>
                <c:pt idx="81">
                  <c:v>3.0324551737346349E-2</c:v>
                </c:pt>
                <c:pt idx="82">
                  <c:v>3.8193658932631686E-2</c:v>
                </c:pt>
                <c:pt idx="83">
                  <c:v>2.819352566032983E-2</c:v>
                </c:pt>
                <c:pt idx="84">
                  <c:v>2.4287197647692417E-2</c:v>
                </c:pt>
                <c:pt idx="85">
                  <c:v>1.7696860768669619E-2</c:v>
                </c:pt>
                <c:pt idx="86">
                  <c:v>2.6076939348624779E-2</c:v>
                </c:pt>
                <c:pt idx="87">
                  <c:v>1.5335512769096497E-2</c:v>
                </c:pt>
                <c:pt idx="88">
                  <c:v>1.2643973109493556E-2</c:v>
                </c:pt>
                <c:pt idx="89">
                  <c:v>1.3500378438195536E-2</c:v>
                </c:pt>
                <c:pt idx="90">
                  <c:v>2.1989623321335278E-2</c:v>
                </c:pt>
                <c:pt idx="91">
                  <c:v>2.194487744596391E-2</c:v>
                </c:pt>
                <c:pt idx="92">
                  <c:v>1.5770711719763863E-2</c:v>
                </c:pt>
                <c:pt idx="93">
                  <c:v>2.4683963312440604E-2</c:v>
                </c:pt>
                <c:pt idx="94">
                  <c:v>3.2771786868545982E-2</c:v>
                </c:pt>
                <c:pt idx="95">
                  <c:v>2.6817529334238123E-2</c:v>
                </c:pt>
                <c:pt idx="96">
                  <c:v>2.8367128103946902E-2</c:v>
                </c:pt>
                <c:pt idx="97">
                  <c:v>3.0345631953330943E-2</c:v>
                </c:pt>
                <c:pt idx="98">
                  <c:v>2.6809809996830657E-2</c:v>
                </c:pt>
                <c:pt idx="99">
                  <c:v>2.3867589136276846E-2</c:v>
                </c:pt>
                <c:pt idx="100">
                  <c:v>2.0059788865607719E-2</c:v>
                </c:pt>
                <c:pt idx="101">
                  <c:v>2.1770582845011051E-2</c:v>
                </c:pt>
                <c:pt idx="102">
                  <c:v>2.4746266854580239E-2</c:v>
                </c:pt>
                <c:pt idx="103">
                  <c:v>2.0010872708346381E-2</c:v>
                </c:pt>
                <c:pt idx="104">
                  <c:v>2.0269495156717637E-2</c:v>
                </c:pt>
                <c:pt idx="105">
                  <c:v>2.1105740298739805E-2</c:v>
                </c:pt>
                <c:pt idx="106">
                  <c:v>2.1185131616017455E-2</c:v>
                </c:pt>
                <c:pt idx="107">
                  <c:v>1.7701748966586148E-2</c:v>
                </c:pt>
                <c:pt idx="108">
                  <c:v>1.3870863463769929E-2</c:v>
                </c:pt>
                <c:pt idx="109">
                  <c:v>1.213271954517562E-2</c:v>
                </c:pt>
                <c:pt idx="110">
                  <c:v>1.5742699654100092E-2</c:v>
                </c:pt>
                <c:pt idx="111">
                  <c:v>1.0621097795086257E-2</c:v>
                </c:pt>
                <c:pt idx="112">
                  <c:v>1.1458190885881778E-2</c:v>
                </c:pt>
                <c:pt idx="113">
                  <c:v>1.4018306561008515E-2</c:v>
                </c:pt>
                <c:pt idx="114">
                  <c:v>6.5796815757000748E-3</c:v>
                </c:pt>
                <c:pt idx="115">
                  <c:v>7.2519393260978143E-3</c:v>
                </c:pt>
                <c:pt idx="116">
                  <c:v>-6.2509791226935119E-3</c:v>
                </c:pt>
                <c:pt idx="117">
                  <c:v>-9.9739296672541541E-3</c:v>
                </c:pt>
                <c:pt idx="118">
                  <c:v>-2.0161442711587541E-2</c:v>
                </c:pt>
                <c:pt idx="119">
                  <c:v>-4.0992053455194855E-2</c:v>
                </c:pt>
                <c:pt idx="120">
                  <c:v>-1.6177485242647387E-2</c:v>
                </c:pt>
                <c:pt idx="121">
                  <c:v>-2.4807644240203153E-4</c:v>
                </c:pt>
                <c:pt idx="122">
                  <c:v>2.6946875892875331E-2</c:v>
                </c:pt>
                <c:pt idx="123">
                  <c:v>1.5037962386702752E-2</c:v>
                </c:pt>
                <c:pt idx="124">
                  <c:v>1.6531449066660004E-2</c:v>
                </c:pt>
                <c:pt idx="125">
                  <c:v>1.4410593327430211E-2</c:v>
                </c:pt>
                <c:pt idx="126">
                  <c:v>9.173800780412536E-3</c:v>
                </c:pt>
                <c:pt idx="127">
                  <c:v>2.899866138861594E-2</c:v>
                </c:pt>
                <c:pt idx="128">
                  <c:v>7.7460643115020475E-2</c:v>
                </c:pt>
                <c:pt idx="129">
                  <c:v>3.6929112973520563E-2</c:v>
                </c:pt>
                <c:pt idx="130">
                  <c:v>3.7459346853995247E-2</c:v>
                </c:pt>
                <c:pt idx="131">
                  <c:v>8.8669857074092834E-2</c:v>
                </c:pt>
                <c:pt idx="132">
                  <c:v>9.0687154691607513E-2</c:v>
                </c:pt>
                <c:pt idx="133">
                  <c:v>4.5432181548509455E-2</c:v>
                </c:pt>
                <c:pt idx="134">
                  <c:v>8.2333710433710308E-2</c:v>
                </c:pt>
                <c:pt idx="135">
                  <c:v>7.5532225526898047E-2</c:v>
                </c:pt>
                <c:pt idx="136">
                  <c:v>5.2066418774397639E-2</c:v>
                </c:pt>
                <c:pt idx="137">
                  <c:v>3.5084576527704137E-2</c:v>
                </c:pt>
              </c:numCache>
            </c:numRef>
          </c:val>
          <c:smooth val="0"/>
          <c:extLst>
            <c:ext xmlns:c16="http://schemas.microsoft.com/office/drawing/2014/chart" uri="{C3380CC4-5D6E-409C-BE32-E72D297353CC}">
              <c16:uniqueId val="{00000000-6A5B-4847-9D72-7A5C85901146}"/>
            </c:ext>
          </c:extLst>
        </c:ser>
        <c:dLbls>
          <c:showLegendKey val="0"/>
          <c:showVal val="0"/>
          <c:showCatName val="0"/>
          <c:showSerName val="0"/>
          <c:showPercent val="0"/>
          <c:showBubbleSize val="0"/>
        </c:dLbls>
        <c:smooth val="0"/>
        <c:axId val="1435633712"/>
        <c:axId val="1003879888"/>
      </c:lineChart>
      <c:catAx>
        <c:axId val="143563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03879888"/>
        <c:crosses val="autoZero"/>
        <c:auto val="1"/>
        <c:lblAlgn val="ctr"/>
        <c:lblOffset val="100"/>
        <c:noMultiLvlLbl val="0"/>
      </c:catAx>
      <c:valAx>
        <c:axId val="10038798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435633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a:t>Fixed Income Risk Sentiment &amp; Equity Risk Sentiment</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FIRS (Baa)</c:v>
          </c:tx>
          <c:spPr>
            <a:ln w="28575" cap="rnd">
              <a:solidFill>
                <a:schemeClr val="accent1"/>
              </a:solidFill>
              <a:round/>
            </a:ln>
            <a:effectLst/>
          </c:spPr>
          <c:marker>
            <c:symbol val="none"/>
          </c:marker>
          <c:cat>
            <c:numRef>
              <c:f>CorporateBondAnnual!$B$10:$B$109</c:f>
              <c:numCache>
                <c:formatCode>General</c:formatCode>
                <c:ptCount val="100"/>
                <c:pt idx="0">
                  <c:v>1919</c:v>
                </c:pt>
                <c:pt idx="1">
                  <c:v>1920</c:v>
                </c:pt>
                <c:pt idx="2">
                  <c:v>1921</c:v>
                </c:pt>
                <c:pt idx="3">
                  <c:v>1922</c:v>
                </c:pt>
                <c:pt idx="4">
                  <c:v>1923</c:v>
                </c:pt>
                <c:pt idx="5">
                  <c:v>1924</c:v>
                </c:pt>
                <c:pt idx="6">
                  <c:v>1925</c:v>
                </c:pt>
                <c:pt idx="7">
                  <c:v>1926</c:v>
                </c:pt>
                <c:pt idx="8">
                  <c:v>1927</c:v>
                </c:pt>
                <c:pt idx="9">
                  <c:v>1928</c:v>
                </c:pt>
                <c:pt idx="10">
                  <c:v>1929</c:v>
                </c:pt>
                <c:pt idx="11">
                  <c:v>1930</c:v>
                </c:pt>
                <c:pt idx="12">
                  <c:v>1931</c:v>
                </c:pt>
                <c:pt idx="13">
                  <c:v>1932</c:v>
                </c:pt>
                <c:pt idx="14">
                  <c:v>1933</c:v>
                </c:pt>
                <c:pt idx="15">
                  <c:v>1934</c:v>
                </c:pt>
                <c:pt idx="16">
                  <c:v>1935</c:v>
                </c:pt>
                <c:pt idx="17">
                  <c:v>1936</c:v>
                </c:pt>
                <c:pt idx="18">
                  <c:v>1937</c:v>
                </c:pt>
                <c:pt idx="19">
                  <c:v>1938</c:v>
                </c:pt>
                <c:pt idx="20">
                  <c:v>1939</c:v>
                </c:pt>
                <c:pt idx="21">
                  <c:v>1940</c:v>
                </c:pt>
                <c:pt idx="22">
                  <c:v>1941</c:v>
                </c:pt>
                <c:pt idx="23">
                  <c:v>1942</c:v>
                </c:pt>
                <c:pt idx="24">
                  <c:v>1943</c:v>
                </c:pt>
                <c:pt idx="25">
                  <c:v>1944</c:v>
                </c:pt>
                <c:pt idx="26">
                  <c:v>1945</c:v>
                </c:pt>
                <c:pt idx="27">
                  <c:v>1946</c:v>
                </c:pt>
                <c:pt idx="28">
                  <c:v>1947</c:v>
                </c:pt>
                <c:pt idx="29">
                  <c:v>1948</c:v>
                </c:pt>
                <c:pt idx="30">
                  <c:v>1949</c:v>
                </c:pt>
                <c:pt idx="31">
                  <c:v>1950</c:v>
                </c:pt>
                <c:pt idx="32">
                  <c:v>1951</c:v>
                </c:pt>
                <c:pt idx="33">
                  <c:v>1952</c:v>
                </c:pt>
                <c:pt idx="34">
                  <c:v>1953</c:v>
                </c:pt>
                <c:pt idx="35">
                  <c:v>1954</c:v>
                </c:pt>
                <c:pt idx="36">
                  <c:v>1955</c:v>
                </c:pt>
                <c:pt idx="37">
                  <c:v>1956</c:v>
                </c:pt>
                <c:pt idx="38">
                  <c:v>1957</c:v>
                </c:pt>
                <c:pt idx="39">
                  <c:v>1958</c:v>
                </c:pt>
                <c:pt idx="40">
                  <c:v>1959</c:v>
                </c:pt>
                <c:pt idx="41">
                  <c:v>1960</c:v>
                </c:pt>
                <c:pt idx="42">
                  <c:v>1961</c:v>
                </c:pt>
                <c:pt idx="43">
                  <c:v>1962</c:v>
                </c:pt>
                <c:pt idx="44">
                  <c:v>1963</c:v>
                </c:pt>
                <c:pt idx="45">
                  <c:v>1964</c:v>
                </c:pt>
                <c:pt idx="46">
                  <c:v>1965</c:v>
                </c:pt>
                <c:pt idx="47">
                  <c:v>1966</c:v>
                </c:pt>
                <c:pt idx="48">
                  <c:v>1967</c:v>
                </c:pt>
                <c:pt idx="49">
                  <c:v>1968</c:v>
                </c:pt>
                <c:pt idx="50">
                  <c:v>1969</c:v>
                </c:pt>
                <c:pt idx="51">
                  <c:v>1970</c:v>
                </c:pt>
                <c:pt idx="52">
                  <c:v>1971</c:v>
                </c:pt>
                <c:pt idx="53">
                  <c:v>1972</c:v>
                </c:pt>
                <c:pt idx="54">
                  <c:v>1973</c:v>
                </c:pt>
                <c:pt idx="55">
                  <c:v>1974</c:v>
                </c:pt>
                <c:pt idx="56">
                  <c:v>1975</c:v>
                </c:pt>
                <c:pt idx="57">
                  <c:v>1976</c:v>
                </c:pt>
                <c:pt idx="58">
                  <c:v>1977</c:v>
                </c:pt>
                <c:pt idx="59">
                  <c:v>1978</c:v>
                </c:pt>
                <c:pt idx="60">
                  <c:v>1979</c:v>
                </c:pt>
                <c:pt idx="61">
                  <c:v>1980</c:v>
                </c:pt>
                <c:pt idx="62">
                  <c:v>1981</c:v>
                </c:pt>
                <c:pt idx="63">
                  <c:v>1982</c:v>
                </c:pt>
                <c:pt idx="64">
                  <c:v>1983</c:v>
                </c:pt>
                <c:pt idx="65">
                  <c:v>1984</c:v>
                </c:pt>
                <c:pt idx="66">
                  <c:v>1985</c:v>
                </c:pt>
                <c:pt idx="67">
                  <c:v>1986</c:v>
                </c:pt>
                <c:pt idx="68">
                  <c:v>1987</c:v>
                </c:pt>
                <c:pt idx="69">
                  <c:v>1988</c:v>
                </c:pt>
                <c:pt idx="70">
                  <c:v>1989</c:v>
                </c:pt>
                <c:pt idx="71">
                  <c:v>1990</c:v>
                </c:pt>
                <c:pt idx="72">
                  <c:v>1991</c:v>
                </c:pt>
                <c:pt idx="73">
                  <c:v>1992</c:v>
                </c:pt>
                <c:pt idx="74">
                  <c:v>1993</c:v>
                </c:pt>
                <c:pt idx="75">
                  <c:v>1994</c:v>
                </c:pt>
                <c:pt idx="76">
                  <c:v>1995</c:v>
                </c:pt>
                <c:pt idx="77">
                  <c:v>1996</c:v>
                </c:pt>
                <c:pt idx="78">
                  <c:v>1997</c:v>
                </c:pt>
                <c:pt idx="79">
                  <c:v>1998</c:v>
                </c:pt>
                <c:pt idx="80">
                  <c:v>1999</c:v>
                </c:pt>
                <c:pt idx="81">
                  <c:v>2000</c:v>
                </c:pt>
                <c:pt idx="82">
                  <c:v>2001</c:v>
                </c:pt>
                <c:pt idx="83">
                  <c:v>2002</c:v>
                </c:pt>
                <c:pt idx="84">
                  <c:v>2003</c:v>
                </c:pt>
                <c:pt idx="85">
                  <c:v>2004</c:v>
                </c:pt>
                <c:pt idx="86">
                  <c:v>2005</c:v>
                </c:pt>
                <c:pt idx="87">
                  <c:v>2006</c:v>
                </c:pt>
                <c:pt idx="88">
                  <c:v>2007</c:v>
                </c:pt>
                <c:pt idx="89">
                  <c:v>2008</c:v>
                </c:pt>
                <c:pt idx="90">
                  <c:v>2009</c:v>
                </c:pt>
                <c:pt idx="91">
                  <c:v>2010</c:v>
                </c:pt>
                <c:pt idx="92">
                  <c:v>2011</c:v>
                </c:pt>
                <c:pt idx="93">
                  <c:v>2012</c:v>
                </c:pt>
                <c:pt idx="94">
                  <c:v>2013</c:v>
                </c:pt>
                <c:pt idx="95">
                  <c:v>2014</c:v>
                </c:pt>
                <c:pt idx="96">
                  <c:v>2015</c:v>
                </c:pt>
                <c:pt idx="97">
                  <c:v>2016</c:v>
                </c:pt>
                <c:pt idx="98">
                  <c:v>2017</c:v>
                </c:pt>
                <c:pt idx="99">
                  <c:v>2018</c:v>
                </c:pt>
              </c:numCache>
            </c:numRef>
          </c:cat>
          <c:val>
            <c:numRef>
              <c:f>CorporateBondAnnual!$E$10:$E$109</c:f>
              <c:numCache>
                <c:formatCode>0.000</c:formatCode>
                <c:ptCount val="100"/>
                <c:pt idx="0">
                  <c:v>1.7442582247051526</c:v>
                </c:pt>
                <c:pt idx="1">
                  <c:v>2.6019219643561087</c:v>
                </c:pt>
                <c:pt idx="2">
                  <c:v>2.1739655468702797</c:v>
                </c:pt>
                <c:pt idx="3">
                  <c:v>-0.14105985512771824</c:v>
                </c:pt>
                <c:pt idx="4">
                  <c:v>1.4011377462102566</c:v>
                </c:pt>
                <c:pt idx="5">
                  <c:v>-0.72233603047473061</c:v>
                </c:pt>
                <c:pt idx="6">
                  <c:v>-0.28173575129533646</c:v>
                </c:pt>
                <c:pt idx="7">
                  <c:v>-0.65863641259468864</c:v>
                </c:pt>
                <c:pt idx="8">
                  <c:v>-2.0829769033361849</c:v>
                </c:pt>
                <c:pt idx="9">
                  <c:v>-1.3034382697304032</c:v>
                </c:pt>
                <c:pt idx="10">
                  <c:v>-6.2985926582030061E-2</c:v>
                </c:pt>
                <c:pt idx="11">
                  <c:v>-3.4603357620274373</c:v>
                </c:pt>
                <c:pt idx="12">
                  <c:v>-4.3029031850294714</c:v>
                </c:pt>
                <c:pt idx="13">
                  <c:v>-6.0628019323671509</c:v>
                </c:pt>
                <c:pt idx="14">
                  <c:v>-8.0014681525255469</c:v>
                </c:pt>
                <c:pt idx="15">
                  <c:v>-6.9910410874266304</c:v>
                </c:pt>
                <c:pt idx="16">
                  <c:v>-9.0778345606239483</c:v>
                </c:pt>
                <c:pt idx="17">
                  <c:v>-7.3276857912976539</c:v>
                </c:pt>
                <c:pt idx="18">
                  <c:v>-5.140483833603593</c:v>
                </c:pt>
                <c:pt idx="19">
                  <c:v>-12.199093591905566</c:v>
                </c:pt>
                <c:pt idx="20">
                  <c:v>-12.707197973434667</c:v>
                </c:pt>
                <c:pt idx="21">
                  <c:v>-14.609033896959598</c:v>
                </c:pt>
                <c:pt idx="22">
                  <c:v>-18.554778554778551</c:v>
                </c:pt>
                <c:pt idx="23">
                  <c:v>-7.3403831940417277</c:v>
                </c:pt>
                <c:pt idx="24">
                  <c:v>-6.2139852993199973</c:v>
                </c:pt>
                <c:pt idx="25">
                  <c:v>-3.5846127307227889</c:v>
                </c:pt>
                <c:pt idx="26">
                  <c:v>-3.0820113131759825</c:v>
                </c:pt>
                <c:pt idx="27">
                  <c:v>-2.1050534767552307</c:v>
                </c:pt>
                <c:pt idx="28">
                  <c:v>-2.4444444444444429</c:v>
                </c:pt>
                <c:pt idx="29">
                  <c:v>-2.6148122311359145</c:v>
                </c:pt>
                <c:pt idx="30">
                  <c:v>-4.3464832321561673</c:v>
                </c:pt>
                <c:pt idx="31">
                  <c:v>-2.2392507449978751</c:v>
                </c:pt>
                <c:pt idx="32">
                  <c:v>2.6850707826974229</c:v>
                </c:pt>
                <c:pt idx="33">
                  <c:v>0.77645480462854977</c:v>
                </c:pt>
                <c:pt idx="34">
                  <c:v>3.0734018631545155</c:v>
                </c:pt>
                <c:pt idx="35">
                  <c:v>-3.0001762735765887</c:v>
                </c:pt>
                <c:pt idx="36">
                  <c:v>0.58755785883551326</c:v>
                </c:pt>
                <c:pt idx="37">
                  <c:v>3.3723945826529622</c:v>
                </c:pt>
                <c:pt idx="38">
                  <c:v>3.4196944673823246</c:v>
                </c:pt>
                <c:pt idx="39">
                  <c:v>-1.2876439515620319</c:v>
                </c:pt>
                <c:pt idx="40">
                  <c:v>5.6161813881412606</c:v>
                </c:pt>
                <c:pt idx="41">
                  <c:v>7.5401510823335229</c:v>
                </c:pt>
                <c:pt idx="42">
                  <c:v>3.6240167158308729</c:v>
                </c:pt>
                <c:pt idx="43">
                  <c:v>5.194629575968321</c:v>
                </c:pt>
                <c:pt idx="44">
                  <c:v>4.2985026908935886</c:v>
                </c:pt>
                <c:pt idx="45">
                  <c:v>6.7231183996901862</c:v>
                </c:pt>
                <c:pt idx="46">
                  <c:v>7.0104782736508575</c:v>
                </c:pt>
                <c:pt idx="47">
                  <c:v>7.9543914527656234</c:v>
                </c:pt>
                <c:pt idx="48">
                  <c:v>5.1294672785389146</c:v>
                </c:pt>
                <c:pt idx="49">
                  <c:v>6.5795739580958053</c:v>
                </c:pt>
                <c:pt idx="50">
                  <c:v>7.1235991701470365</c:v>
                </c:pt>
                <c:pt idx="51">
                  <c:v>8.5008980057577155</c:v>
                </c:pt>
                <c:pt idx="52">
                  <c:v>5.6497822084512084</c:v>
                </c:pt>
                <c:pt idx="53">
                  <c:v>5.3439455976801398</c:v>
                </c:pt>
                <c:pt idx="54">
                  <c:v>7.1225182939557268</c:v>
                </c:pt>
                <c:pt idx="55">
                  <c:v>7.4516378903598746</c:v>
                </c:pt>
                <c:pt idx="56">
                  <c:v>5.9863311587449513</c:v>
                </c:pt>
                <c:pt idx="57">
                  <c:v>6.765333383386201</c:v>
                </c:pt>
                <c:pt idx="58">
                  <c:v>7.1193854689000311</c:v>
                </c:pt>
                <c:pt idx="59">
                  <c:v>8.3245022061860752</c:v>
                </c:pt>
                <c:pt idx="60">
                  <c:v>8.9070800550266149</c:v>
                </c:pt>
                <c:pt idx="61">
                  <c:v>8.4360081512832572</c:v>
                </c:pt>
                <c:pt idx="62">
                  <c:v>8.6234978855252695</c:v>
                </c:pt>
                <c:pt idx="63">
                  <c:v>8.9802961220061697</c:v>
                </c:pt>
                <c:pt idx="64">
                  <c:v>7.6107995971609324</c:v>
                </c:pt>
                <c:pt idx="65">
                  <c:v>8.7731636146752265</c:v>
                </c:pt>
                <c:pt idx="66">
                  <c:v>8.7626726536060637</c:v>
                </c:pt>
                <c:pt idx="67">
                  <c:v>7.9877867826061788</c:v>
                </c:pt>
                <c:pt idx="68">
                  <c:v>6.2009514392633491</c:v>
                </c:pt>
                <c:pt idx="69">
                  <c:v>7.6868137215019452</c:v>
                </c:pt>
                <c:pt idx="70">
                  <c:v>8.4062376134132712</c:v>
                </c:pt>
                <c:pt idx="71">
                  <c:v>7.779891396654552</c:v>
                </c:pt>
                <c:pt idx="72">
                  <c:v>7.3856492625603281</c:v>
                </c:pt>
                <c:pt idx="73">
                  <c:v>6.6684951205075045</c:v>
                </c:pt>
                <c:pt idx="74">
                  <c:v>6.5718142740417047</c:v>
                </c:pt>
                <c:pt idx="75">
                  <c:v>5.5872809863724857</c:v>
                </c:pt>
                <c:pt idx="76">
                  <c:v>8.3010192450790488</c:v>
                </c:pt>
                <c:pt idx="77">
                  <c:v>5.5459180683349949</c:v>
                </c:pt>
                <c:pt idx="78">
                  <c:v>7.2790379740114943</c:v>
                </c:pt>
                <c:pt idx="79">
                  <c:v>5.7998739962198851</c:v>
                </c:pt>
                <c:pt idx="80">
                  <c:v>2.4375375236687731</c:v>
                </c:pt>
                <c:pt idx="81">
                  <c:v>7.0186793291486449</c:v>
                </c:pt>
                <c:pt idx="82">
                  <c:v>3.2783828868609568</c:v>
                </c:pt>
                <c:pt idx="83">
                  <c:v>2.8490854886793961</c:v>
                </c:pt>
                <c:pt idx="84">
                  <c:v>-0.81210750421946365</c:v>
                </c:pt>
                <c:pt idx="85">
                  <c:v>1.6392556852113422</c:v>
                </c:pt>
                <c:pt idx="86">
                  <c:v>3.1952094274369145</c:v>
                </c:pt>
                <c:pt idx="87">
                  <c:v>3.3627758426742762</c:v>
                </c:pt>
                <c:pt idx="88">
                  <c:v>4.8394571774827195</c:v>
                </c:pt>
                <c:pt idx="89">
                  <c:v>-1.7679080341989781</c:v>
                </c:pt>
                <c:pt idx="90">
                  <c:v>-17.352083455659297</c:v>
                </c:pt>
                <c:pt idx="91">
                  <c:v>-0.92402796380803487</c:v>
                </c:pt>
                <c:pt idx="92">
                  <c:v>-3.1586557927005607</c:v>
                </c:pt>
                <c:pt idx="93">
                  <c:v>-21.475018233972467</c:v>
                </c:pt>
                <c:pt idx="94">
                  <c:v>-21.479194220070166</c:v>
                </c:pt>
                <c:pt idx="95">
                  <c:v>-5.5286889980767526</c:v>
                </c:pt>
                <c:pt idx="96">
                  <c:v>-20.870060790273563</c:v>
                </c:pt>
                <c:pt idx="97">
                  <c:v>-19.311208765869516</c:v>
                </c:pt>
                <c:pt idx="98">
                  <c:v>-9.6468870303995722</c:v>
                </c:pt>
                <c:pt idx="99">
                  <c:v>-5.9546728187177891</c:v>
                </c:pt>
              </c:numCache>
            </c:numRef>
          </c:val>
          <c:smooth val="0"/>
          <c:extLst>
            <c:ext xmlns:c16="http://schemas.microsoft.com/office/drawing/2014/chart" uri="{C3380CC4-5D6E-409C-BE32-E72D297353CC}">
              <c16:uniqueId val="{00000000-E9A6-E843-93A8-281F388C916D}"/>
            </c:ext>
          </c:extLst>
        </c:ser>
        <c:ser>
          <c:idx val="1"/>
          <c:order val="1"/>
          <c:tx>
            <c:v>ERS</c:v>
          </c:tx>
          <c:spPr>
            <a:ln w="28575" cap="rnd">
              <a:solidFill>
                <a:schemeClr val="accent2"/>
              </a:solidFill>
              <a:round/>
            </a:ln>
            <a:effectLst/>
          </c:spPr>
          <c:marker>
            <c:symbol val="none"/>
          </c:marker>
          <c:cat>
            <c:numRef>
              <c:f>CorporateBondAnnual!$B$10:$B$109</c:f>
              <c:numCache>
                <c:formatCode>General</c:formatCode>
                <c:ptCount val="100"/>
                <c:pt idx="0">
                  <c:v>1919</c:v>
                </c:pt>
                <c:pt idx="1">
                  <c:v>1920</c:v>
                </c:pt>
                <c:pt idx="2">
                  <c:v>1921</c:v>
                </c:pt>
                <c:pt idx="3">
                  <c:v>1922</c:v>
                </c:pt>
                <c:pt idx="4">
                  <c:v>1923</c:v>
                </c:pt>
                <c:pt idx="5">
                  <c:v>1924</c:v>
                </c:pt>
                <c:pt idx="6">
                  <c:v>1925</c:v>
                </c:pt>
                <c:pt idx="7">
                  <c:v>1926</c:v>
                </c:pt>
                <c:pt idx="8">
                  <c:v>1927</c:v>
                </c:pt>
                <c:pt idx="9">
                  <c:v>1928</c:v>
                </c:pt>
                <c:pt idx="10">
                  <c:v>1929</c:v>
                </c:pt>
                <c:pt idx="11">
                  <c:v>1930</c:v>
                </c:pt>
                <c:pt idx="12">
                  <c:v>1931</c:v>
                </c:pt>
                <c:pt idx="13">
                  <c:v>1932</c:v>
                </c:pt>
                <c:pt idx="14">
                  <c:v>1933</c:v>
                </c:pt>
                <c:pt idx="15">
                  <c:v>1934</c:v>
                </c:pt>
                <c:pt idx="16">
                  <c:v>1935</c:v>
                </c:pt>
                <c:pt idx="17">
                  <c:v>1936</c:v>
                </c:pt>
                <c:pt idx="18">
                  <c:v>1937</c:v>
                </c:pt>
                <c:pt idx="19">
                  <c:v>1938</c:v>
                </c:pt>
                <c:pt idx="20">
                  <c:v>1939</c:v>
                </c:pt>
                <c:pt idx="21">
                  <c:v>1940</c:v>
                </c:pt>
                <c:pt idx="22">
                  <c:v>1941</c:v>
                </c:pt>
                <c:pt idx="23">
                  <c:v>1942</c:v>
                </c:pt>
                <c:pt idx="24">
                  <c:v>1943</c:v>
                </c:pt>
                <c:pt idx="25">
                  <c:v>1944</c:v>
                </c:pt>
                <c:pt idx="26">
                  <c:v>1945</c:v>
                </c:pt>
                <c:pt idx="27">
                  <c:v>1946</c:v>
                </c:pt>
                <c:pt idx="28">
                  <c:v>1947</c:v>
                </c:pt>
                <c:pt idx="29">
                  <c:v>1948</c:v>
                </c:pt>
                <c:pt idx="30">
                  <c:v>1949</c:v>
                </c:pt>
                <c:pt idx="31">
                  <c:v>1950</c:v>
                </c:pt>
                <c:pt idx="32">
                  <c:v>1951</c:v>
                </c:pt>
                <c:pt idx="33">
                  <c:v>1952</c:v>
                </c:pt>
                <c:pt idx="34">
                  <c:v>1953</c:v>
                </c:pt>
                <c:pt idx="35">
                  <c:v>1954</c:v>
                </c:pt>
                <c:pt idx="36">
                  <c:v>1955</c:v>
                </c:pt>
                <c:pt idx="37">
                  <c:v>1956</c:v>
                </c:pt>
                <c:pt idx="38">
                  <c:v>1957</c:v>
                </c:pt>
                <c:pt idx="39">
                  <c:v>1958</c:v>
                </c:pt>
                <c:pt idx="40">
                  <c:v>1959</c:v>
                </c:pt>
                <c:pt idx="41">
                  <c:v>1960</c:v>
                </c:pt>
                <c:pt idx="42">
                  <c:v>1961</c:v>
                </c:pt>
                <c:pt idx="43">
                  <c:v>1962</c:v>
                </c:pt>
                <c:pt idx="44">
                  <c:v>1963</c:v>
                </c:pt>
                <c:pt idx="45">
                  <c:v>1964</c:v>
                </c:pt>
                <c:pt idx="46">
                  <c:v>1965</c:v>
                </c:pt>
                <c:pt idx="47">
                  <c:v>1966</c:v>
                </c:pt>
                <c:pt idx="48">
                  <c:v>1967</c:v>
                </c:pt>
                <c:pt idx="49">
                  <c:v>1968</c:v>
                </c:pt>
                <c:pt idx="50">
                  <c:v>1969</c:v>
                </c:pt>
                <c:pt idx="51">
                  <c:v>1970</c:v>
                </c:pt>
                <c:pt idx="52">
                  <c:v>1971</c:v>
                </c:pt>
                <c:pt idx="53">
                  <c:v>1972</c:v>
                </c:pt>
                <c:pt idx="54">
                  <c:v>1973</c:v>
                </c:pt>
                <c:pt idx="55">
                  <c:v>1974</c:v>
                </c:pt>
                <c:pt idx="56">
                  <c:v>1975</c:v>
                </c:pt>
                <c:pt idx="57">
                  <c:v>1976</c:v>
                </c:pt>
                <c:pt idx="58">
                  <c:v>1977</c:v>
                </c:pt>
                <c:pt idx="59">
                  <c:v>1978</c:v>
                </c:pt>
                <c:pt idx="60">
                  <c:v>1979</c:v>
                </c:pt>
                <c:pt idx="61">
                  <c:v>1980</c:v>
                </c:pt>
                <c:pt idx="62">
                  <c:v>1981</c:v>
                </c:pt>
                <c:pt idx="63">
                  <c:v>1982</c:v>
                </c:pt>
                <c:pt idx="64">
                  <c:v>1983</c:v>
                </c:pt>
                <c:pt idx="65">
                  <c:v>1984</c:v>
                </c:pt>
                <c:pt idx="66">
                  <c:v>1985</c:v>
                </c:pt>
                <c:pt idx="67">
                  <c:v>1986</c:v>
                </c:pt>
                <c:pt idx="68">
                  <c:v>1987</c:v>
                </c:pt>
                <c:pt idx="69">
                  <c:v>1988</c:v>
                </c:pt>
                <c:pt idx="70">
                  <c:v>1989</c:v>
                </c:pt>
                <c:pt idx="71">
                  <c:v>1990</c:v>
                </c:pt>
                <c:pt idx="72">
                  <c:v>1991</c:v>
                </c:pt>
                <c:pt idx="73">
                  <c:v>1992</c:v>
                </c:pt>
                <c:pt idx="74">
                  <c:v>1993</c:v>
                </c:pt>
                <c:pt idx="75">
                  <c:v>1994</c:v>
                </c:pt>
                <c:pt idx="76">
                  <c:v>1995</c:v>
                </c:pt>
                <c:pt idx="77">
                  <c:v>1996</c:v>
                </c:pt>
                <c:pt idx="78">
                  <c:v>1997</c:v>
                </c:pt>
                <c:pt idx="79">
                  <c:v>1998</c:v>
                </c:pt>
                <c:pt idx="80">
                  <c:v>1999</c:v>
                </c:pt>
                <c:pt idx="81">
                  <c:v>2000</c:v>
                </c:pt>
                <c:pt idx="82">
                  <c:v>2001</c:v>
                </c:pt>
                <c:pt idx="83">
                  <c:v>2002</c:v>
                </c:pt>
                <c:pt idx="84">
                  <c:v>2003</c:v>
                </c:pt>
                <c:pt idx="85">
                  <c:v>2004</c:v>
                </c:pt>
                <c:pt idx="86">
                  <c:v>2005</c:v>
                </c:pt>
                <c:pt idx="87">
                  <c:v>2006</c:v>
                </c:pt>
                <c:pt idx="88">
                  <c:v>2007</c:v>
                </c:pt>
                <c:pt idx="89">
                  <c:v>2008</c:v>
                </c:pt>
                <c:pt idx="90">
                  <c:v>2009</c:v>
                </c:pt>
                <c:pt idx="91">
                  <c:v>2010</c:v>
                </c:pt>
                <c:pt idx="92">
                  <c:v>2011</c:v>
                </c:pt>
                <c:pt idx="93">
                  <c:v>2012</c:v>
                </c:pt>
                <c:pt idx="94">
                  <c:v>2013</c:v>
                </c:pt>
                <c:pt idx="95">
                  <c:v>2014</c:v>
                </c:pt>
                <c:pt idx="96">
                  <c:v>2015</c:v>
                </c:pt>
                <c:pt idx="97">
                  <c:v>2016</c:v>
                </c:pt>
                <c:pt idx="98">
                  <c:v>2017</c:v>
                </c:pt>
                <c:pt idx="99">
                  <c:v>2018</c:v>
                </c:pt>
              </c:numCache>
            </c:numRef>
          </c:cat>
          <c:val>
            <c:numRef>
              <c:f>CorporateBondAnnual!$F$10:$F$109</c:f>
              <c:numCache>
                <c:formatCode>0.000</c:formatCode>
                <c:ptCount val="100"/>
                <c:pt idx="0">
                  <c:v>-6.1237545822721167</c:v>
                </c:pt>
                <c:pt idx="1">
                  <c:v>-4.1310565749370198</c:v>
                </c:pt>
                <c:pt idx="2">
                  <c:v>-4.5241812755094841</c:v>
                </c:pt>
                <c:pt idx="3">
                  <c:v>-6.968726663141247</c:v>
                </c:pt>
                <c:pt idx="4">
                  <c:v>-4.7815793334446042</c:v>
                </c:pt>
                <c:pt idx="5">
                  <c:v>-6.5582924258838062</c:v>
                </c:pt>
                <c:pt idx="6">
                  <c:v>-6.2141168990403415</c:v>
                </c:pt>
                <c:pt idx="7">
                  <c:v>-5.83294685497202</c:v>
                </c:pt>
                <c:pt idx="8">
                  <c:v>-6.754189131801251</c:v>
                </c:pt>
                <c:pt idx="9">
                  <c:v>-1.2239014583292622</c:v>
                </c:pt>
                <c:pt idx="10">
                  <c:v>9.3054218430549902</c:v>
                </c:pt>
                <c:pt idx="11">
                  <c:v>1.9155875162213469</c:v>
                </c:pt>
                <c:pt idx="12">
                  <c:v>-3.2346410289314349</c:v>
                </c:pt>
                <c:pt idx="13">
                  <c:v>-7.8615065883004149</c:v>
                </c:pt>
                <c:pt idx="14">
                  <c:v>-11.483434199724236</c:v>
                </c:pt>
                <c:pt idx="15">
                  <c:v>-9.0261622229496723</c:v>
                </c:pt>
                <c:pt idx="16">
                  <c:v>-14.346385938608435</c:v>
                </c:pt>
                <c:pt idx="17">
                  <c:v>-10.648489210606531</c:v>
                </c:pt>
                <c:pt idx="18">
                  <c:v>-5.6946912528673757</c:v>
                </c:pt>
                <c:pt idx="19">
                  <c:v>-15.551038081437582</c:v>
                </c:pt>
                <c:pt idx="20">
                  <c:v>-16.773246945012925</c:v>
                </c:pt>
                <c:pt idx="21">
                  <c:v>-18.870388435666882</c:v>
                </c:pt>
                <c:pt idx="22">
                  <c:v>-27.377893014100451</c:v>
                </c:pt>
                <c:pt idx="23">
                  <c:v>-20.548720072135787</c:v>
                </c:pt>
                <c:pt idx="24">
                  <c:v>-20.335295739082088</c:v>
                </c:pt>
                <c:pt idx="25">
                  <c:v>-19.27016788118382</c:v>
                </c:pt>
                <c:pt idx="26">
                  <c:v>-20.233629387197226</c:v>
                </c:pt>
                <c:pt idx="27">
                  <c:v>-20.03893727885934</c:v>
                </c:pt>
                <c:pt idx="28">
                  <c:v>-22.975148109708869</c:v>
                </c:pt>
                <c:pt idx="29">
                  <c:v>-20.56426390005673</c:v>
                </c:pt>
                <c:pt idx="30">
                  <c:v>-23.041757532004311</c:v>
                </c:pt>
                <c:pt idx="31">
                  <c:v>-22.357714976114167</c:v>
                </c:pt>
                <c:pt idx="32">
                  <c:v>-17.014745997138817</c:v>
                </c:pt>
                <c:pt idx="33">
                  <c:v>-14.786373087648592</c:v>
                </c:pt>
                <c:pt idx="34">
                  <c:v>-12.324915597941221</c:v>
                </c:pt>
                <c:pt idx="35">
                  <c:v>-18.319930090233463</c:v>
                </c:pt>
                <c:pt idx="36">
                  <c:v>-12.323395182240894</c:v>
                </c:pt>
                <c:pt idx="37">
                  <c:v>-6.190173235270759</c:v>
                </c:pt>
                <c:pt idx="38">
                  <c:v>-2.1839540255132341</c:v>
                </c:pt>
                <c:pt idx="39">
                  <c:v>-8.5740279946179356</c:v>
                </c:pt>
                <c:pt idx="40">
                  <c:v>3.1047174524461241</c:v>
                </c:pt>
                <c:pt idx="41">
                  <c:v>7.1518443164094627</c:v>
                </c:pt>
                <c:pt idx="42">
                  <c:v>2.4287503198105078</c:v>
                </c:pt>
                <c:pt idx="43">
                  <c:v>6.6881274784465958</c:v>
                </c:pt>
                <c:pt idx="44">
                  <c:v>3.1495711188415179</c:v>
                </c:pt>
                <c:pt idx="45">
                  <c:v>7.6464008492591056</c:v>
                </c:pt>
                <c:pt idx="46">
                  <c:v>9.4029866332351197</c:v>
                </c:pt>
                <c:pt idx="47">
                  <c:v>12.366509418790514</c:v>
                </c:pt>
                <c:pt idx="48">
                  <c:v>8.5981809900131019</c:v>
                </c:pt>
                <c:pt idx="49">
                  <c:v>13.428353256187524</c:v>
                </c:pt>
                <c:pt idx="50">
                  <c:v>14.638676682118682</c:v>
                </c:pt>
                <c:pt idx="51">
                  <c:v>14.253570920172306</c:v>
                </c:pt>
                <c:pt idx="52">
                  <c:v>10.436152917850919</c:v>
                </c:pt>
                <c:pt idx="53">
                  <c:v>10.45627410795954</c:v>
                </c:pt>
                <c:pt idx="54">
                  <c:v>13.232654306311721</c:v>
                </c:pt>
                <c:pt idx="55">
                  <c:v>9.2245702473065094</c:v>
                </c:pt>
                <c:pt idx="56">
                  <c:v>5.5876621750709159</c:v>
                </c:pt>
                <c:pt idx="57">
                  <c:v>8.265154721795275</c:v>
                </c:pt>
                <c:pt idx="58">
                  <c:v>7.5683358266765914</c:v>
                </c:pt>
                <c:pt idx="59">
                  <c:v>6.6786481905829316</c:v>
                </c:pt>
                <c:pt idx="60">
                  <c:v>8.2686259301289837</c:v>
                </c:pt>
                <c:pt idx="61">
                  <c:v>9.5916749214698491</c:v>
                </c:pt>
                <c:pt idx="62">
                  <c:v>11.303955047982168</c:v>
                </c:pt>
                <c:pt idx="63">
                  <c:v>10.53465037776256</c:v>
                </c:pt>
                <c:pt idx="64">
                  <c:v>9.1965537786280525</c:v>
                </c:pt>
                <c:pt idx="65">
                  <c:v>11.325951517857208</c:v>
                </c:pt>
                <c:pt idx="66">
                  <c:v>11.209654956289329</c:v>
                </c:pt>
                <c:pt idx="67">
                  <c:v>10.833614766207244</c:v>
                </c:pt>
                <c:pt idx="68">
                  <c:v>10.797914318408214</c:v>
                </c:pt>
                <c:pt idx="69">
                  <c:v>12.364311308713312</c:v>
                </c:pt>
                <c:pt idx="70">
                  <c:v>14.086972332702283</c:v>
                </c:pt>
                <c:pt idx="71">
                  <c:v>14.868575640983023</c:v>
                </c:pt>
                <c:pt idx="72">
                  <c:v>13.245250687405576</c:v>
                </c:pt>
                <c:pt idx="73">
                  <c:v>15.54831714460631</c:v>
                </c:pt>
                <c:pt idx="74">
                  <c:v>15.171895651480551</c:v>
                </c:pt>
                <c:pt idx="75">
                  <c:v>14.020670566000458</c:v>
                </c:pt>
                <c:pt idx="76">
                  <c:v>17.365648985439307</c:v>
                </c:pt>
                <c:pt idx="77">
                  <c:v>17.063350150396246</c:v>
                </c:pt>
                <c:pt idx="78">
                  <c:v>23.135301740892622</c:v>
                </c:pt>
                <c:pt idx="79">
                  <c:v>24.809426898806748</c:v>
                </c:pt>
                <c:pt idx="80">
                  <c:v>29.390516999242017</c:v>
                </c:pt>
                <c:pt idx="81">
                  <c:v>38.757563131922986</c:v>
                </c:pt>
                <c:pt idx="82">
                  <c:v>27.599023035789514</c:v>
                </c:pt>
                <c:pt idx="83">
                  <c:v>20.435934591826157</c:v>
                </c:pt>
                <c:pt idx="84">
                  <c:v>8.2069905519218551</c:v>
                </c:pt>
                <c:pt idx="85">
                  <c:v>13.562154813567901</c:v>
                </c:pt>
                <c:pt idx="86">
                  <c:v>12.890568233515399</c:v>
                </c:pt>
                <c:pt idx="87">
                  <c:v>13.84426823754545</c:v>
                </c:pt>
                <c:pt idx="88">
                  <c:v>16.199133295462598</c:v>
                </c:pt>
                <c:pt idx="89">
                  <c:v>7.2843498463983209</c:v>
                </c:pt>
                <c:pt idx="90">
                  <c:v>-14.507887745660014</c:v>
                </c:pt>
                <c:pt idx="91">
                  <c:v>3.7182083269235839</c:v>
                </c:pt>
                <c:pt idx="92">
                  <c:v>3.4797743568086652</c:v>
                </c:pt>
                <c:pt idx="93">
                  <c:v>-19.5484132279935</c:v>
                </c:pt>
                <c:pt idx="94">
                  <c:v>-20.455545528586573</c:v>
                </c:pt>
                <c:pt idx="95">
                  <c:v>-0.10542587140226445</c:v>
                </c:pt>
                <c:pt idx="96">
                  <c:v>-16.699193941319013</c:v>
                </c:pt>
                <c:pt idx="97">
                  <c:v>-13.640722748274634</c:v>
                </c:pt>
                <c:pt idx="98">
                  <c:v>-3.0886896323611275</c:v>
                </c:pt>
                <c:pt idx="99">
                  <c:v>4.5476539055500425</c:v>
                </c:pt>
              </c:numCache>
            </c:numRef>
          </c:val>
          <c:smooth val="0"/>
          <c:extLst>
            <c:ext xmlns:c16="http://schemas.microsoft.com/office/drawing/2014/chart" uri="{C3380CC4-5D6E-409C-BE32-E72D297353CC}">
              <c16:uniqueId val="{00000001-E9A6-E843-93A8-281F388C916D}"/>
            </c:ext>
          </c:extLst>
        </c:ser>
        <c:dLbls>
          <c:showLegendKey val="0"/>
          <c:showVal val="0"/>
          <c:showCatName val="0"/>
          <c:showSerName val="0"/>
          <c:showPercent val="0"/>
          <c:showBubbleSize val="0"/>
        </c:dLbls>
        <c:smooth val="0"/>
        <c:axId val="1525584864"/>
        <c:axId val="1361174400"/>
      </c:lineChart>
      <c:catAx>
        <c:axId val="152558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61174400"/>
        <c:crosses val="autoZero"/>
        <c:auto val="1"/>
        <c:lblAlgn val="ctr"/>
        <c:lblOffset val="100"/>
        <c:tickLblSkip val="9"/>
        <c:noMultiLvlLbl val="0"/>
      </c:catAx>
      <c:valAx>
        <c:axId val="1361174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52558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3E87A-289B-1644-8E27-CFB5B94B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26</Pages>
  <Words>7186</Words>
  <Characters>40965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Nuveen Investments</Company>
  <LinksUpToDate>false</LinksUpToDate>
  <CharactersWithSpaces>48055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Evan</dc:creator>
  <cp:keywords/>
  <dc:description/>
  <cp:lastModifiedBy>Evan Inglis</cp:lastModifiedBy>
  <cp:revision>37</cp:revision>
  <cp:lastPrinted>2018-10-02T17:22:00Z</cp:lastPrinted>
  <dcterms:created xsi:type="dcterms:W3CDTF">2018-10-25T15:35:00Z</dcterms:created>
  <dcterms:modified xsi:type="dcterms:W3CDTF">2018-11-02T20:07:00Z</dcterms:modified>
</cp:coreProperties>
</file>