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1CA821" w14:textId="77777777" w:rsidR="00E23C31" w:rsidRPr="00E23C31" w:rsidRDefault="00EF72AF">
      <w:pPr>
        <w:rPr>
          <w:b/>
        </w:rPr>
      </w:pPr>
      <w:bookmarkStart w:id="0" w:name="_GoBack"/>
      <w:bookmarkEnd w:id="0"/>
      <w:r>
        <w:rPr>
          <w:b/>
        </w:rPr>
        <w:t>What</w:t>
      </w:r>
      <w:r w:rsidR="00563C27">
        <w:rPr>
          <w:b/>
        </w:rPr>
        <w:t>’</w:t>
      </w:r>
      <w:r>
        <w:rPr>
          <w:b/>
        </w:rPr>
        <w:t>s so important about the market?</w:t>
      </w:r>
    </w:p>
    <w:p w14:paraId="316AD9D3" w14:textId="77777777" w:rsidR="00BE6235" w:rsidRDefault="00BE6235">
      <w:r>
        <w:t>Two paradigms have evolved in pension actuarial practice:</w:t>
      </w:r>
    </w:p>
    <w:p w14:paraId="6B333357" w14:textId="77777777" w:rsidR="00FD3835" w:rsidRDefault="00BE6235" w:rsidP="00BE6235">
      <w:pPr>
        <w:pStyle w:val="ListParagraph"/>
        <w:numPr>
          <w:ilvl w:val="0"/>
          <w:numId w:val="1"/>
        </w:numPr>
      </w:pPr>
      <w:r>
        <w:t>a “best estimate” or “expected” paradigm which uses long-term expected returns as discount rates to determine liability values</w:t>
      </w:r>
    </w:p>
    <w:p w14:paraId="26457995" w14:textId="77777777" w:rsidR="00BE6235" w:rsidRDefault="00BE6235" w:rsidP="00BE6235">
      <w:pPr>
        <w:pStyle w:val="ListParagraph"/>
        <w:numPr>
          <w:ilvl w:val="0"/>
          <w:numId w:val="1"/>
        </w:numPr>
      </w:pPr>
      <w:r>
        <w:t>a “market consistent” paradigm which uses current market information, primarily bond yields to determine liability values</w:t>
      </w:r>
    </w:p>
    <w:p w14:paraId="52560F09" w14:textId="77777777" w:rsidR="00B969E9" w:rsidRDefault="00BE6235" w:rsidP="00BE6235">
      <w:r>
        <w:t xml:space="preserve">The purpose of this document is </w:t>
      </w:r>
      <w:r w:rsidR="00563C27">
        <w:t>to</w:t>
      </w:r>
      <w:r>
        <w:t xml:space="preserve"> examine the potential advantages of a greater focus on market consistent measures.  This document is not so concerned about which measure is better for any particular purpose, but </w:t>
      </w:r>
      <w:r w:rsidR="004B64B1">
        <w:t>about the framework within which risk is assessed and</w:t>
      </w:r>
      <w:r w:rsidR="00B969E9">
        <w:t xml:space="preserve"> within which</w:t>
      </w:r>
      <w:r w:rsidR="004B64B1">
        <w:t xml:space="preserve"> investment, funding and benefit decisions are made.</w:t>
      </w:r>
      <w:r>
        <w:t xml:space="preserve"> </w:t>
      </w:r>
      <w:r w:rsidR="00B969E9">
        <w:t xml:space="preserve"> The market-consistent measurement may provide a </w:t>
      </w:r>
      <w:r w:rsidR="002E6805">
        <w:t>useful</w:t>
      </w:r>
      <w:r w:rsidR="00B969E9">
        <w:t xml:space="preserve"> framework for assessment and decision-making.</w:t>
      </w:r>
    </w:p>
    <w:p w14:paraId="4A8BB82A" w14:textId="77777777" w:rsidR="0037719C" w:rsidRDefault="0037719C" w:rsidP="00BE6235">
      <w:r>
        <w:t>A market-consistent measurement</w:t>
      </w:r>
      <w:r w:rsidR="00EF72AF">
        <w:t xml:space="preserve"> </w:t>
      </w:r>
      <w:r>
        <w:t>has these important characteristics:</w:t>
      </w:r>
    </w:p>
    <w:p w14:paraId="6D2512AC" w14:textId="77777777" w:rsidR="0037719C" w:rsidRDefault="00EF72AF" w:rsidP="0037719C">
      <w:pPr>
        <w:pStyle w:val="ListParagraph"/>
        <w:numPr>
          <w:ilvl w:val="0"/>
          <w:numId w:val="3"/>
        </w:numPr>
      </w:pPr>
      <w:r>
        <w:t>B</w:t>
      </w:r>
      <w:r w:rsidR="0037719C">
        <w:t xml:space="preserve">ased on observable data and not subject to substantial judgement </w:t>
      </w:r>
    </w:p>
    <w:p w14:paraId="424A5482" w14:textId="77777777" w:rsidR="0037719C" w:rsidRDefault="00EF72AF" w:rsidP="0037719C">
      <w:pPr>
        <w:pStyle w:val="ListParagraph"/>
        <w:numPr>
          <w:ilvl w:val="0"/>
          <w:numId w:val="3"/>
        </w:numPr>
      </w:pPr>
      <w:r>
        <w:t>P</w:t>
      </w:r>
      <w:r w:rsidR="0037719C">
        <w:t>rovides information about future returns since future returns are dependent on current yields for both stocks and bonds</w:t>
      </w:r>
    </w:p>
    <w:p w14:paraId="3898DB2A" w14:textId="77777777" w:rsidR="0037719C" w:rsidRDefault="00EF72AF" w:rsidP="0037719C">
      <w:pPr>
        <w:pStyle w:val="ListParagraph"/>
        <w:numPr>
          <w:ilvl w:val="0"/>
          <w:numId w:val="3"/>
        </w:numPr>
      </w:pPr>
      <w:r>
        <w:t>A</w:t>
      </w:r>
      <w:r w:rsidR="0037719C">
        <w:t xml:space="preserve">pplied directly to expected pension cash flows which defines </w:t>
      </w:r>
      <w:r>
        <w:t>an appropriate time horizon for investment</w:t>
      </w:r>
      <w:r w:rsidR="00563C27">
        <w:t xml:space="preserve"> strategie</w:t>
      </w:r>
      <w:r>
        <w:t>s and the expected return assumption</w:t>
      </w:r>
    </w:p>
    <w:p w14:paraId="5B1CAF3A" w14:textId="77777777" w:rsidR="0037719C" w:rsidRDefault="0037719C" w:rsidP="0037719C">
      <w:pPr>
        <w:pStyle w:val="ListParagraph"/>
        <w:numPr>
          <w:ilvl w:val="0"/>
          <w:numId w:val="3"/>
        </w:numPr>
      </w:pPr>
      <w:r>
        <w:t>Does not encourage or discourage additional investment risk</w:t>
      </w:r>
    </w:p>
    <w:p w14:paraId="767B1D28" w14:textId="77777777" w:rsidR="0037719C" w:rsidRDefault="0037719C" w:rsidP="0037719C">
      <w:pPr>
        <w:pStyle w:val="ListParagraph"/>
        <w:numPr>
          <w:ilvl w:val="0"/>
          <w:numId w:val="3"/>
        </w:numPr>
      </w:pPr>
      <w:r>
        <w:t>Provides an asset-liability framework for assessing investment risk</w:t>
      </w:r>
    </w:p>
    <w:p w14:paraId="6C1A869B" w14:textId="77777777" w:rsidR="00EF72AF" w:rsidRDefault="0037719C" w:rsidP="00EF72AF">
      <w:pPr>
        <w:pStyle w:val="ListParagraph"/>
        <w:numPr>
          <w:ilvl w:val="0"/>
          <w:numId w:val="3"/>
        </w:numPr>
      </w:pPr>
      <w:r>
        <w:t>Identifies benefit provisions which cannot be hedged with financial assets</w:t>
      </w:r>
      <w:r w:rsidR="00EF72AF" w:rsidRPr="00EF72AF">
        <w:t xml:space="preserve"> </w:t>
      </w:r>
    </w:p>
    <w:p w14:paraId="50AAEAE8" w14:textId="77777777" w:rsidR="00EF72AF" w:rsidRDefault="00EF72AF" w:rsidP="00EF72AF">
      <w:pPr>
        <w:pStyle w:val="ListParagraph"/>
        <w:numPr>
          <w:ilvl w:val="0"/>
          <w:numId w:val="3"/>
        </w:numPr>
      </w:pPr>
      <w:r>
        <w:t>It provides information about the cost if any portion of the liability were to be settled</w:t>
      </w:r>
    </w:p>
    <w:p w14:paraId="4802B733" w14:textId="0A4C51A4" w:rsidR="008A376B" w:rsidRDefault="008A376B" w:rsidP="00BE6235">
      <w:r>
        <w:t>The pot</w:t>
      </w:r>
      <w:r w:rsidR="00EF72AF">
        <w:t>e</w:t>
      </w:r>
      <w:r>
        <w:t xml:space="preserve">ntial insights </w:t>
      </w:r>
      <w:r w:rsidR="0037719C">
        <w:t>from</w:t>
      </w:r>
      <w:r>
        <w:t xml:space="preserve"> the market consistent </w:t>
      </w:r>
      <w:r w:rsidR="0037719C">
        <w:t>perspective</w:t>
      </w:r>
      <w:r>
        <w:t xml:space="preserve"> are not being taken advantage of in current actuarial practice for public pension plans.  This may </w:t>
      </w:r>
      <w:r w:rsidR="00EF72AF">
        <w:t>encourage</w:t>
      </w:r>
      <w:r>
        <w:t xml:space="preserve"> expected returns that are unrealistic, investment allocations that are suboptimal, excessive investment risk-taking and</w:t>
      </w:r>
      <w:r w:rsidR="00EF72AF">
        <w:t xml:space="preserve"> adopting</w:t>
      </w:r>
      <w:r>
        <w:t xml:space="preserve"> benefit provisions that </w:t>
      </w:r>
      <w:r w:rsidR="00E23C31">
        <w:t xml:space="preserve">eventually </w:t>
      </w:r>
      <w:r>
        <w:t xml:space="preserve">become </w:t>
      </w:r>
      <w:r w:rsidR="00311337">
        <w:t>costlier</w:t>
      </w:r>
      <w:r>
        <w:t xml:space="preserve"> than expected.  The focus on predictable costs</w:t>
      </w:r>
      <w:r w:rsidR="00E23C31">
        <w:t xml:space="preserve"> in the best-estimate paradigm</w:t>
      </w:r>
      <w:r>
        <w:t xml:space="preserve"> is a valid objective, but in practice </w:t>
      </w:r>
      <w:r w:rsidR="00E23C31">
        <w:t>costs have not been predictable over the</w:t>
      </w:r>
      <w:r>
        <w:t xml:space="preserve"> longer-term.</w:t>
      </w:r>
    </w:p>
    <w:p w14:paraId="2B3AEF1A" w14:textId="5B863E25" w:rsidR="008A376B" w:rsidRDefault="002E6805" w:rsidP="00BE6235">
      <w:r>
        <w:t>A</w:t>
      </w:r>
      <w:r w:rsidR="008A376B">
        <w:t xml:space="preserve"> </w:t>
      </w:r>
      <w:r>
        <w:t>complete transition to</w:t>
      </w:r>
      <w:r w:rsidR="008A376B">
        <w:t xml:space="preserve"> a market-consistent framework will </w:t>
      </w:r>
      <w:r w:rsidR="00E23C31">
        <w:t xml:space="preserve">currently </w:t>
      </w:r>
      <w:r w:rsidR="008A376B">
        <w:t xml:space="preserve">be impractical for most </w:t>
      </w:r>
      <w:r w:rsidR="00563C27">
        <w:t>public (</w:t>
      </w:r>
      <w:r w:rsidR="00311337">
        <w:t xml:space="preserve">or </w:t>
      </w:r>
      <w:r w:rsidR="00563C27">
        <w:t>multi</w:t>
      </w:r>
      <w:r w:rsidR="00311337">
        <w:t>-employer</w:t>
      </w:r>
      <w:r w:rsidR="00563C27">
        <w:t xml:space="preserve">) </w:t>
      </w:r>
      <w:r w:rsidR="008A376B">
        <w:t xml:space="preserve">pension plans.  </w:t>
      </w:r>
      <w:r>
        <w:t>Howe</w:t>
      </w:r>
      <w:r w:rsidR="0037719C">
        <w:t>v</w:t>
      </w:r>
      <w:r>
        <w:t>er, the following</w:t>
      </w:r>
      <w:r w:rsidR="00E23C31">
        <w:t xml:space="preserve"> adaptations</w:t>
      </w:r>
      <w:r w:rsidR="008A376B">
        <w:t xml:space="preserve"> have potential to be adopted in the shorter term</w:t>
      </w:r>
      <w:r w:rsidR="00EF72AF">
        <w:t xml:space="preserve"> and will achieve some of the advantages of the market consistent perspective</w:t>
      </w:r>
      <w:r w:rsidR="008A376B">
        <w:t xml:space="preserve">. </w:t>
      </w:r>
    </w:p>
    <w:p w14:paraId="0EF38E8B" w14:textId="77777777" w:rsidR="00EF72AF" w:rsidRDefault="00EF72AF" w:rsidP="00EF72AF">
      <w:pPr>
        <w:pStyle w:val="ListParagraph"/>
        <w:numPr>
          <w:ilvl w:val="0"/>
          <w:numId w:val="2"/>
        </w:numPr>
      </w:pPr>
      <w:r>
        <w:t>Use an expected return assumption that is responsive to both bond yields and equity P/E ratios.</w:t>
      </w:r>
    </w:p>
    <w:p w14:paraId="30B012A9" w14:textId="77777777" w:rsidR="008A376B" w:rsidRDefault="00EC4881" w:rsidP="00EC4881">
      <w:pPr>
        <w:pStyle w:val="ListParagraph"/>
        <w:numPr>
          <w:ilvl w:val="0"/>
          <w:numId w:val="2"/>
        </w:numPr>
      </w:pPr>
      <w:r>
        <w:t xml:space="preserve">Use expected returns </w:t>
      </w:r>
      <w:r w:rsidR="00EF72AF">
        <w:t>related to</w:t>
      </w:r>
      <w:r>
        <w:t xml:space="preserve"> specific time periods and ap</w:t>
      </w:r>
      <w:r w:rsidR="00563C27">
        <w:t xml:space="preserve">ply them explicitly to expected </w:t>
      </w:r>
      <w:r>
        <w:t>benefit payment cash flows to determine a single equivalent discount rate.</w:t>
      </w:r>
    </w:p>
    <w:p w14:paraId="6DC89EA8" w14:textId="77777777" w:rsidR="008179A4" w:rsidRDefault="008179A4" w:rsidP="00EC4881">
      <w:pPr>
        <w:pStyle w:val="ListParagraph"/>
        <w:numPr>
          <w:ilvl w:val="0"/>
          <w:numId w:val="2"/>
        </w:numPr>
      </w:pPr>
      <w:r>
        <w:t>Use a discount rate based on current</w:t>
      </w:r>
      <w:r w:rsidR="002E6805">
        <w:t xml:space="preserve"> long</w:t>
      </w:r>
      <w:r>
        <w:t xml:space="preserve"> bond yields plus a constant risk premium </w:t>
      </w:r>
      <w:r w:rsidR="00E23C31">
        <w:t xml:space="preserve">of </w:t>
      </w:r>
      <w:r w:rsidR="002E6805">
        <w:t>not more than</w:t>
      </w:r>
      <w:r w:rsidR="00E23C31">
        <w:t xml:space="preserve"> 200 bps.</w:t>
      </w:r>
    </w:p>
    <w:p w14:paraId="447B74E3" w14:textId="77777777" w:rsidR="00E23C31" w:rsidRDefault="00E23C31" w:rsidP="00EC4881">
      <w:pPr>
        <w:pStyle w:val="ListParagraph"/>
        <w:numPr>
          <w:ilvl w:val="0"/>
          <w:numId w:val="2"/>
        </w:numPr>
      </w:pPr>
      <w:r>
        <w:t>Use a market-sensitive liability i</w:t>
      </w:r>
      <w:r w:rsidR="003C7ABC">
        <w:t>n</w:t>
      </w:r>
      <w:r>
        <w:t xml:space="preserve"> any stochastic modeling or</w:t>
      </w:r>
      <w:r w:rsidR="00EF72AF">
        <w:t xml:space="preserve"> other risk assessment exercise</w:t>
      </w:r>
    </w:p>
    <w:p w14:paraId="4F400AFF" w14:textId="77777777" w:rsidR="00E23C31" w:rsidRDefault="00E23C31" w:rsidP="00EC4881">
      <w:pPr>
        <w:pStyle w:val="ListParagraph"/>
        <w:numPr>
          <w:ilvl w:val="0"/>
          <w:numId w:val="2"/>
        </w:numPr>
      </w:pPr>
      <w:r>
        <w:t xml:space="preserve">Analyze whether and how any new benefit provision could </w:t>
      </w:r>
      <w:r w:rsidR="00EF72AF">
        <w:t>be hedged with financial assets</w:t>
      </w:r>
    </w:p>
    <w:p w14:paraId="66F2AD01" w14:textId="77777777" w:rsidR="0037719C" w:rsidRDefault="00EC4881" w:rsidP="0037719C">
      <w:pPr>
        <w:pStyle w:val="ListParagraph"/>
        <w:numPr>
          <w:ilvl w:val="0"/>
          <w:numId w:val="2"/>
        </w:numPr>
      </w:pPr>
      <w:r>
        <w:t>Calculate and disclose a market-sensitive solvency value</w:t>
      </w:r>
    </w:p>
    <w:sectPr w:rsidR="00377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0702BD" w14:textId="77777777" w:rsidR="00870FF4" w:rsidRDefault="00870FF4" w:rsidP="00EC4881">
      <w:pPr>
        <w:spacing w:after="0" w:line="240" w:lineRule="auto"/>
      </w:pPr>
      <w:r>
        <w:separator/>
      </w:r>
    </w:p>
  </w:endnote>
  <w:endnote w:type="continuationSeparator" w:id="0">
    <w:p w14:paraId="3C518C37" w14:textId="77777777" w:rsidR="00870FF4" w:rsidRDefault="00870FF4" w:rsidP="00EC4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9A0A0" w14:textId="77777777" w:rsidR="00870FF4" w:rsidRDefault="00870FF4" w:rsidP="00EC4881">
      <w:pPr>
        <w:spacing w:after="0" w:line="240" w:lineRule="auto"/>
      </w:pPr>
      <w:r>
        <w:separator/>
      </w:r>
    </w:p>
  </w:footnote>
  <w:footnote w:type="continuationSeparator" w:id="0">
    <w:p w14:paraId="358DE998" w14:textId="77777777" w:rsidR="00870FF4" w:rsidRDefault="00870FF4" w:rsidP="00EC48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15359"/>
    <w:multiLevelType w:val="hybridMultilevel"/>
    <w:tmpl w:val="A91C0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103659"/>
    <w:multiLevelType w:val="hybridMultilevel"/>
    <w:tmpl w:val="7932D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CD37C4"/>
    <w:multiLevelType w:val="hybridMultilevel"/>
    <w:tmpl w:val="A00C5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235"/>
    <w:rsid w:val="00137CF8"/>
    <w:rsid w:val="002E6805"/>
    <w:rsid w:val="002F3641"/>
    <w:rsid w:val="00311337"/>
    <w:rsid w:val="0037719C"/>
    <w:rsid w:val="003C7ABC"/>
    <w:rsid w:val="004B64B1"/>
    <w:rsid w:val="00563C27"/>
    <w:rsid w:val="00730598"/>
    <w:rsid w:val="008179A4"/>
    <w:rsid w:val="00870FF4"/>
    <w:rsid w:val="008A376B"/>
    <w:rsid w:val="00B969E9"/>
    <w:rsid w:val="00BE6235"/>
    <w:rsid w:val="00E14631"/>
    <w:rsid w:val="00E23C31"/>
    <w:rsid w:val="00EC4881"/>
    <w:rsid w:val="00EF72AF"/>
    <w:rsid w:val="00FD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B49BF"/>
  <w15:chartTrackingRefBased/>
  <w15:docId w15:val="{C6E9EF0F-C3AB-4F77-B45D-A4545871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6235"/>
    <w:pPr>
      <w:ind w:left="720"/>
      <w:contextualSpacing/>
    </w:pPr>
  </w:style>
  <w:style w:type="table" w:styleId="TableGrid">
    <w:name w:val="Table Grid"/>
    <w:basedOn w:val="TableNormal"/>
    <w:uiPriority w:val="39"/>
    <w:rsid w:val="004B6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Nuveen Investments</Company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Inglis, Evan</dc:creator>
  <cp:keywords/>
  <dc:description/>
  <cp:lastModifiedBy>Evan Inglis</cp:lastModifiedBy>
  <cp:revision>2</cp:revision>
  <dcterms:created xsi:type="dcterms:W3CDTF">2018-10-14T17:04:00Z</dcterms:created>
  <dcterms:modified xsi:type="dcterms:W3CDTF">2018-10-14T17:04:00Z</dcterms:modified>
</cp:coreProperties>
</file>